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Kicker"/>
      </w:pPr>
      <w:r>
        <w:t>FREE, LOW-PREP ENGLISH RESOURCE</w:t>
      </w:r>
    </w:p>
    <w:p>
      <w:pPr>
        <w:pStyle w:val="Title"/>
      </w:pPr>
      <w:r>
        <w:t>Pick a chapter. Teach it tomorrow.</w:t>
      </w:r>
    </w:p>
    <w:p>
      <w:pPr>
        <w:pStyle w:val="Subtitle"/>
      </w:pPr>
      <w:r>
        <w:t>Two concise plans for A Broom Too Soon, with answers beside the questions and one pupil page per chapter.</w:t>
      </w:r>
    </w:p>
    <w:tbl>
      <w:tblPr>
        <w:jc w:val="left"/>
        <w:tblLook w:firstColumn="1" w:firstRow="1" w:lastColumn="0" w:lastRow="0" w:noHBand="0" w:noVBand="1" w:val="04A0"/>
        <w:tblW w:w="9638" w:type="dxa"/>
        <w:tblInd w:w="120" w:type="dxa"/>
        <w:tblLayout w:type="fixed"/>
      </w:tblPr>
      <w:tblGrid>
        <w:gridCol w:w="3212"/>
        <w:gridCol w:w="3212"/>
        <w:gridCol w:w="3214"/>
      </w:tblGrid>
      <w:tr>
        <w:trPr>
          <w:tblHeader w:val="true"/>
        </w:trPr>
        <w:tc>
          <w:tcPr>
            <w:tcW w:type="dxa" w:w="3212"/>
            <w:tcMar>
              <w:top w:w="80" w:type="dxa"/>
              <w:start w:w="120" w:type="dxa"/>
              <w:bottom w:w="80" w:type="dxa"/>
              <w:end w:w="120" w:type="dxa"/>
            </w:tcMar>
            <w:vAlign w:val="center"/>
            <w:shd w:fill="F0E7D8"/>
          </w:tcPr>
          <w:p>
            <w:pPr>
              <w:spacing w:before="100" w:after="100"/>
              <w:jc w:val="center"/>
            </w:pPr>
            <w:r>
              <w:rPr>
                <w:rFonts w:ascii="Calibri" w:hAnsi="Calibri" w:eastAsia="Calibri"/>
                <w:b/>
                <w:color w:val="4D2D65"/>
                <w:sz w:val="21"/>
              </w:rPr>
              <w:t>Chapter 1</w:t>
            </w:r>
            <w:r>
              <w:rPr>
                <w:rFonts w:ascii="Calibri" w:hAnsi="Calibri" w:eastAsia="Calibri"/>
                <w:color w:val="645B67"/>
                <w:sz w:val="16"/>
              </w:rPr>
              <w:br/>
              <w:t>Inference and belonging</w:t>
            </w:r>
          </w:p>
        </w:tc>
        <w:tc>
          <w:tcPr>
            <w:tcW w:type="dxa" w:w="3212"/>
            <w:tcMar>
              <w:top w:w="80" w:type="dxa"/>
              <w:start w:w="120" w:type="dxa"/>
              <w:bottom w:w="80" w:type="dxa"/>
              <w:end w:w="120" w:type="dxa"/>
            </w:tcMar>
            <w:vAlign w:val="center"/>
            <w:shd w:fill="F0E7D8"/>
          </w:tcPr>
          <w:p>
            <w:pPr>
              <w:spacing w:before="100" w:after="100"/>
              <w:jc w:val="center"/>
            </w:pPr>
            <w:r>
              <w:rPr>
                <w:rFonts w:ascii="Calibri" w:hAnsi="Calibri" w:eastAsia="Calibri"/>
                <w:b/>
                <w:color w:val="4D2D65"/>
                <w:sz w:val="21"/>
              </w:rPr>
              <w:t>Chapter 2</w:t>
            </w:r>
            <w:r>
              <w:rPr>
                <w:rFonts w:ascii="Calibri" w:hAnsi="Calibri" w:eastAsia="Calibri"/>
                <w:color w:val="645B67"/>
                <w:sz w:val="16"/>
              </w:rPr>
              <w:br/>
              <w:t>Evidence and editing</w:t>
            </w:r>
          </w:p>
        </w:tc>
        <w:tc>
          <w:tcPr>
            <w:tcW w:type="dxa" w:w="3214"/>
            <w:tcMar>
              <w:top w:w="80" w:type="dxa"/>
              <w:start w:w="120" w:type="dxa"/>
              <w:bottom w:w="80" w:type="dxa"/>
              <w:end w:w="120" w:type="dxa"/>
            </w:tcMar>
            <w:vAlign w:val="center"/>
            <w:shd w:fill="F0E7D8"/>
          </w:tcPr>
          <w:p>
            <w:pPr>
              <w:spacing w:before="100" w:after="100"/>
              <w:jc w:val="center"/>
            </w:pPr>
            <w:r>
              <w:rPr>
                <w:rFonts w:ascii="Calibri" w:hAnsi="Calibri" w:eastAsia="Calibri"/>
                <w:b/>
                <w:color w:val="4D2D65"/>
                <w:sz w:val="21"/>
              </w:rPr>
              <w:t>3 routes</w:t>
            </w:r>
            <w:r>
              <w:rPr>
                <w:rFonts w:ascii="Calibri" w:hAnsi="Calibri" w:eastAsia="Calibri"/>
                <w:color w:val="645B67"/>
                <w:sz w:val="16"/>
              </w:rPr>
              <w:br/>
              <w:t>15, 30 or 45-60 min</w:t>
            </w:r>
          </w:p>
        </w:tc>
      </w:tr>
    </w:tbl>
    <w:p>
      <w:pPr>
        <w:pStyle w:val="Heading1"/>
      </w:pPr>
      <w:r>
        <w:t>Start here</w:t>
      </w:r>
    </w:p>
    <w:p>
      <w:pPr>
        <w:numPr>
          <w:ilvl w:val="0"/>
          <w:numId w:val="11"/>
        </w:numPr>
      </w:pPr>
      <w:r>
        <w:t>Choose Chapter 1 or Chapter 2 and mark the paragraph pauses in the teacher plan.</w:t>
      </w:r>
    </w:p>
    <w:p>
      <w:pPr>
        <w:numPr>
          <w:ilvl w:val="0"/>
          <w:numId w:val="11"/>
        </w:numPr>
      </w:pPr>
      <w:r>
        <w:t>Pick the 15, 30 or 45-60 minute route. You do not need every activity.</w:t>
      </w:r>
    </w:p>
    <w:p>
      <w:pPr>
        <w:numPr>
          <w:ilvl w:val="0"/>
          <w:numId w:val="11"/>
        </w:numPr>
      </w:pPr>
      <w:r>
        <w:t>Print the pupil page only if pupils will record. One oral exit answer is enough.</w:t>
      </w:r>
    </w:p>
    <w:p>
      <w:pPr>
        <w:pStyle w:val="Heading2"/>
      </w:pPr>
      <w:r>
        <w:t>Inside the pack</w:t>
      </w:r>
    </w:p>
    <w:p>
      <w:pPr>
        <w:numPr>
          <w:ilvl w:val="0"/>
          <w:numId w:val="10"/>
        </w:numPr>
      </w:pPr>
      <w:r>
        <w:t>Two teacher pages and one pupil page per chapter</w:t>
      </w:r>
    </w:p>
    <w:p>
      <w:pPr>
        <w:numPr>
          <w:ilvl w:val="0"/>
          <w:numId w:val="10"/>
        </w:numPr>
      </w:pPr>
      <w:r>
        <w:t>Curriculum, inclusion and no-marking assessment notes</w:t>
      </w:r>
    </w:p>
    <w:p>
      <w:pPr>
        <w:numPr>
          <w:ilvl w:val="0"/>
          <w:numId w:val="10"/>
        </w:numPr>
      </w:pPr>
      <w:r>
        <w:t>Teacher-code rewards and one school-check summary</w:t>
      </w:r>
    </w:p>
    <w:p>
      <w:pPr>
        <w:numPr>
          <w:ilvl w:val="0"/>
          <w:numId w:val="10"/>
        </w:numPr>
      </w:pPr>
      <w:r>
        <w:t>Source links and a clear non-endorsement statement</w:t>
      </w:r>
    </w:p>
    <w:p>
      <w:pPr>
        <w:pStyle w:val="Smallprint"/>
      </w:pPr>
      <w:r>
        <w:t>Ages 8-12 | Year 4 supported; Year 5 core; Year 6 deepen | Pack 2026.08.07-r1 | Updated 7 August 2026 | UK English | A4</w:t>
      </w:r>
    </w:p>
    <w:p>
      <w:r>
        <w:br w:type="page"/>
      </w:r>
    </w:p>
    <w:p>
      <w:pPr>
        <w:pStyle w:val="Kicker"/>
      </w:pPr>
      <w:r>
        <w:t>CHAPTER 1 | TEACHER PLAN</w:t>
      </w:r>
    </w:p>
    <w:p>
      <w:pPr>
        <w:pStyle w:val="Heading1"/>
      </w:pPr>
      <w:r>
        <w:t>A Late Arrival</w:t>
      </w:r>
    </w:p>
    <w:p>
      <w:pPr>
        <w:pStyle w:val="Subtitle"/>
      </w:pPr>
      <w:r>
        <w:t>Arrival, inference, belonging and the last-wand hook</w:t>
      </w:r>
    </w:p>
    <w:p>
      <w:pPr>
        <w:shd w:fill="EEE7F3"/>
        <w:pBdr>
          <w:left w:val="single" w:sz="16" w:space="8" w:color="4D2D65"/>
        </w:pBdr>
        <w:spacing w:before="100" w:after="140"/>
        <w:ind w:left="227" w:right="170"/>
      </w:pPr>
      <w:r>
        <w:rPr>
          <w:b/>
        </w:rPr>
        <w:t xml:space="preserve">Best fit. </w:t>
      </w:r>
      <w:r>
        <w:t>Use as a whole-class read-aloud or shared text. Year 4 pupils may respond orally or with stems; Years 5-6 can justify and compare interpretations independently.</w:t>
      </w:r>
    </w:p>
    <w:p>
      <w:pPr>
        <w:pStyle w:val="Heading2"/>
      </w:pPr>
      <w:r>
        <w:t>Learning intentions</w:t>
      </w:r>
    </w:p>
    <w:p>
      <w:pPr>
        <w:numPr>
          <w:ilvl w:val="0"/>
          <w:numId w:val="10"/>
        </w:numPr>
      </w:pPr>
      <w:r>
        <w:t>Infer how Eliza's feelings change and justify an idea with relevant evidence.</w:t>
      </w:r>
    </w:p>
    <w:p>
      <w:pPr>
        <w:numPr>
          <w:ilvl w:val="0"/>
          <w:numId w:val="10"/>
        </w:numPr>
      </w:pPr>
      <w:r>
        <w:t>Make and revise a prediction from details that are stated and implied.</w:t>
      </w:r>
    </w:p>
    <w:p>
      <w:pPr>
        <w:pStyle w:val="Heading2"/>
      </w:pPr>
      <w:r>
        <w:t>Prepare</w:t>
      </w:r>
    </w:p>
    <w:p>
      <w:pPr>
        <w:numPr>
          <w:ilvl w:val="0"/>
          <w:numId w:val="12"/>
        </w:numPr>
      </w:pPr>
      <w:r>
        <w:t>Open Chapter 1 in the book or the free online sample.</w:t>
      </w:r>
    </w:p>
    <w:p>
      <w:pPr>
        <w:numPr>
          <w:ilvl w:val="0"/>
          <w:numId w:val="12"/>
        </w:numPr>
      </w:pPr>
      <w:r>
        <w:t>Choose the 15, 30 or 45-60 minute route below.</w:t>
      </w:r>
    </w:p>
    <w:p>
      <w:pPr>
        <w:numPr>
          <w:ilvl w:val="0"/>
          <w:numId w:val="12"/>
        </w:numPr>
      </w:pPr>
      <w:r>
        <w:t>Print the one-page pupil sheet only if pupils will record.</w:t>
      </w:r>
    </w:p>
    <w:p>
      <w:pPr>
        <w:pStyle w:val="Heading2"/>
      </w:pPr>
      <w:r>
        <w:t>Choose one route</w:t>
      </w:r>
    </w:p>
    <w:p>
      <w:r>
        <w:rPr>
          <w:rFonts w:ascii="Calibri" w:hAnsi="Calibri" w:eastAsia="Calibri"/>
          <w:b/>
          <w:color w:val="4D2D65"/>
        </w:rPr>
        <w:t xml:space="preserve">15 minutes | Extract route. </w:t>
      </w:r>
      <w:r>
        <w:t>Read P1-P10, ask the arrival question, then predict what the school will do next.</w:t>
      </w:r>
    </w:p>
    <w:p>
      <w:r>
        <w:rPr>
          <w:rFonts w:ascii="Calibri" w:hAnsi="Calibri" w:eastAsia="Calibri"/>
          <w:b/>
          <w:color w:val="4D2D65"/>
        </w:rPr>
        <w:t xml:space="preserve">30 minutes | Core route. </w:t>
      </w:r>
      <w:r>
        <w:t>Read the chapter aloud, discuss Eliza and Tilda, then complete one evidence chain and an ending prediction.</w:t>
      </w:r>
    </w:p>
    <w:p>
      <w:r>
        <w:rPr>
          <w:rFonts w:ascii="Calibri" w:hAnsi="Calibri" w:eastAsia="Calibri"/>
          <w:b/>
          <w:color w:val="4D2D65"/>
        </w:rPr>
        <w:t xml:space="preserve">45-60 minutes | Full route. </w:t>
      </w:r>
      <w:r>
        <w:t>Add vocabulary, compare Eliza's feelings across the chapter and write the late-arrival record or the setting response.</w:t>
      </w:r>
    </w:p>
    <w:p>
      <w:pPr>
        <w:pStyle w:val="Heading2"/>
      </w:pPr>
      <w:r>
        <w:t>Teach in five moves</w:t>
      </w:r>
    </w:p>
    <w:p>
      <w:pPr>
        <w:keepLines/>
        <w:numPr>
          <w:ilvl w:val="0"/>
          <w:numId w:val="13"/>
        </w:numPr>
      </w:pPr>
      <w:r>
        <w:t>Set the purpose: Tell pupils they are collecting clues, not guessing. Model: I notice... This might mean...</w:t>
      </w:r>
    </w:p>
    <w:p>
      <w:pPr>
        <w:keepLines/>
        <w:numPr>
          <w:ilvl w:val="0"/>
          <w:numId w:val="13"/>
        </w:numPr>
      </w:pPr>
      <w:r>
        <w:t>Read and notice: Read aloud. Pause after P10, P29, P50 and P65. Keep the pace; explain only words that block meaning.</w:t>
      </w:r>
    </w:p>
    <w:p>
      <w:pPr>
        <w:keepLines/>
        <w:numPr>
          <w:ilvl w:val="0"/>
          <w:numId w:val="13"/>
        </w:numPr>
      </w:pPr>
      <w:r>
        <w:t>Model an evidence chain: Use P4: damp hands and knocking knees suggest that Eliza feels anxious before she lands.</w:t>
      </w:r>
    </w:p>
    <w:p>
      <w:pPr>
        <w:keepLines/>
        <w:numPr>
          <w:ilvl w:val="0"/>
          <w:numId w:val="13"/>
        </w:numPr>
      </w:pPr>
      <w:r>
        <w:t>Pupils respond: Choose one: trace Eliza's feelings, write Bramble's late-arrival record or describe the school that will not sit still.</w:t>
      </w:r>
    </w:p>
    <w:p>
      <w:pPr>
        <w:keepLines/>
        <w:numPr>
          <w:ilvl w:val="0"/>
          <w:numId w:val="13"/>
        </w:numPr>
      </w:pPr>
      <w:r>
        <w:t>Check and finish: Ask pupils to revise a prediction after the last-wand hook. Collect one evidence-linked exit sentence.</w:t>
      </w:r>
    </w:p>
    <w:p>
      <w:pPr>
        <w:pStyle w:val="Heading2"/>
      </w:pPr>
      <w:r>
        <w:t>Vocabulary</w:t>
      </w:r>
    </w:p>
    <w:tbl>
      <w:tblPr>
        <w:tblStyle w:val="TableGrid"/>
        <w:jc w:val="left"/>
        <w:tblLook w:firstColumn="1" w:firstRow="1" w:lastColumn="0" w:lastRow="0" w:noHBand="0" w:noVBand="1" w:val="04A0"/>
        <w:tblW w:w="9638" w:type="dxa"/>
        <w:tblInd w:w="120" w:type="dxa"/>
        <w:tblLayout w:type="fixed"/>
      </w:tblPr>
      <w:tblGrid>
        <w:gridCol w:w="1600"/>
        <w:gridCol w:w="6838"/>
        <w:gridCol w:w="1200"/>
      </w:tblGrid>
      <w:tr>
        <w:trPr>
          <w:tblHeader w:val="true"/>
        </w:trPr>
        <w:tc>
          <w:tcPr>
            <w:tcW w:type="dxa" w:w="1600"/>
            <w:shd w:fill="E8EEF5"/>
            <w:tcMar>
              <w:top w:w="80" w:type="dxa"/>
              <w:start w:w="120" w:type="dxa"/>
              <w:bottom w:w="80" w:type="dxa"/>
              <w:end w:w="120" w:type="dxa"/>
            </w:tcMar>
            <w:vAlign w:val="center"/>
          </w:tcPr>
          <w:p>
            <w:r>
              <w:rPr>
                <w:rFonts w:ascii="Calibri" w:hAnsi="Calibri" w:eastAsia="Calibri"/>
                <w:b/>
                <w:color w:val="2B193A"/>
                <w:sz w:val="18"/>
              </w:rPr>
              <w:t>Word</w:t>
            </w:r>
          </w:p>
        </w:tc>
        <w:tc>
          <w:tcPr>
            <w:tcW w:type="dxa" w:w="6838"/>
            <w:shd w:fill="E8EEF5"/>
            <w:tcMar>
              <w:top w:w="80" w:type="dxa"/>
              <w:start w:w="120" w:type="dxa"/>
              <w:bottom w:w="80" w:type="dxa"/>
              <w:end w:w="120" w:type="dxa"/>
            </w:tcMar>
            <w:vAlign w:val="center"/>
          </w:tcPr>
          <w:p>
            <w:r>
              <w:rPr>
                <w:rFonts w:ascii="Calibri" w:hAnsi="Calibri" w:eastAsia="Calibri"/>
                <w:b/>
                <w:color w:val="2B193A"/>
                <w:sz w:val="18"/>
              </w:rPr>
              <w:t>Meaning</w:t>
            </w:r>
          </w:p>
        </w:tc>
        <w:tc>
          <w:tcPr>
            <w:tcW w:type="dxa" w:w="1200"/>
            <w:shd w:fill="E8EEF5"/>
            <w:tcMar>
              <w:top w:w="80" w:type="dxa"/>
              <w:start w:w="120" w:type="dxa"/>
              <w:bottom w:w="80" w:type="dxa"/>
              <w:end w:w="120" w:type="dxa"/>
            </w:tcMar>
            <w:vAlign w:val="center"/>
          </w:tcPr>
          <w:p>
            <w:r>
              <w:rPr>
                <w:rFonts w:ascii="Calibri" w:hAnsi="Calibri" w:eastAsia="Calibri"/>
                <w:b/>
                <w:color w:val="2B193A"/>
                <w:sz w:val="18"/>
              </w:rPr>
              <w:t>Reference</w:t>
            </w:r>
          </w:p>
        </w:tc>
      </w:tr>
      <w:tr>
        <w:tc>
          <w:tcPr>
            <w:tcW w:type="dxa" w:w="1600"/>
            <w:tcMar>
              <w:top w:w="80" w:type="dxa"/>
              <w:start w:w="120" w:type="dxa"/>
              <w:bottom w:w="80" w:type="dxa"/>
              <w:end w:w="120" w:type="dxa"/>
            </w:tcMar>
            <w:vAlign w:val="center"/>
          </w:tcPr>
          <w:p>
            <w:r>
              <w:rPr>
                <w:rFonts w:ascii="Calibri" w:hAnsi="Calibri" w:eastAsia="Calibri"/>
                <w:b/>
                <w:color w:val="241D28"/>
                <w:sz w:val="18"/>
              </w:rPr>
              <w:t>loomed</w:t>
            </w:r>
          </w:p>
        </w:tc>
        <w:tc>
          <w:tcPr>
            <w:tcW w:type="dxa" w:w="6838"/>
            <w:tcMar>
              <w:top w:w="80" w:type="dxa"/>
              <w:start w:w="120" w:type="dxa"/>
              <w:bottom w:w="80" w:type="dxa"/>
              <w:end w:w="120" w:type="dxa"/>
            </w:tcMar>
            <w:vAlign w:val="center"/>
          </w:tcPr>
          <w:p>
            <w:r>
              <w:rPr>
                <w:rFonts w:ascii="Calibri" w:hAnsi="Calibri" w:eastAsia="Calibri"/>
                <w:b w:val="0"/>
                <w:color w:val="241D28"/>
                <w:sz w:val="18"/>
              </w:rPr>
              <w:t>appeared very large or threatening</w:t>
            </w:r>
          </w:p>
        </w:tc>
        <w:tc>
          <w:tcPr>
            <w:tcW w:type="dxa" w:w="1200"/>
            <w:tcMar>
              <w:top w:w="80" w:type="dxa"/>
              <w:start w:w="120" w:type="dxa"/>
              <w:bottom w:w="80" w:type="dxa"/>
              <w:end w:w="120" w:type="dxa"/>
            </w:tcMar>
            <w:vAlign w:val="center"/>
          </w:tcPr>
          <w:p>
            <w:r>
              <w:rPr>
                <w:rFonts w:ascii="Calibri" w:hAnsi="Calibri" w:eastAsia="Calibri"/>
                <w:b w:val="0"/>
                <w:color w:val="241D28"/>
                <w:sz w:val="18"/>
              </w:rPr>
              <w:t>P2</w:t>
            </w:r>
          </w:p>
        </w:tc>
      </w:tr>
      <w:tr>
        <w:tc>
          <w:tcPr>
            <w:tcW w:type="dxa" w:w="1600"/>
            <w:tcMar>
              <w:top w:w="80" w:type="dxa"/>
              <w:start w:w="120" w:type="dxa"/>
              <w:bottom w:w="80" w:type="dxa"/>
              <w:end w:w="120" w:type="dxa"/>
            </w:tcMar>
            <w:vAlign w:val="center"/>
          </w:tcPr>
          <w:p>
            <w:r>
              <w:rPr>
                <w:rFonts w:ascii="Calibri" w:hAnsi="Calibri" w:eastAsia="Calibri"/>
                <w:b/>
                <w:color w:val="241D28"/>
                <w:sz w:val="18"/>
              </w:rPr>
              <w:t>peculiar</w:t>
            </w:r>
          </w:p>
        </w:tc>
        <w:tc>
          <w:tcPr>
            <w:tcW w:type="dxa" w:w="6838"/>
            <w:tcMar>
              <w:top w:w="80" w:type="dxa"/>
              <w:start w:w="120" w:type="dxa"/>
              <w:bottom w:w="80" w:type="dxa"/>
              <w:end w:w="120" w:type="dxa"/>
            </w:tcMar>
            <w:vAlign w:val="center"/>
          </w:tcPr>
          <w:p>
            <w:r>
              <w:rPr>
                <w:rFonts w:ascii="Calibri" w:hAnsi="Calibri" w:eastAsia="Calibri"/>
                <w:b w:val="0"/>
                <w:color w:val="241D28"/>
                <w:sz w:val="18"/>
              </w:rPr>
              <w:t>unusual or strange</w:t>
            </w:r>
          </w:p>
        </w:tc>
        <w:tc>
          <w:tcPr>
            <w:tcW w:type="dxa" w:w="1200"/>
            <w:tcMar>
              <w:top w:w="80" w:type="dxa"/>
              <w:start w:w="120" w:type="dxa"/>
              <w:bottom w:w="80" w:type="dxa"/>
              <w:end w:w="120" w:type="dxa"/>
            </w:tcMar>
            <w:vAlign w:val="center"/>
          </w:tcPr>
          <w:p>
            <w:r>
              <w:rPr>
                <w:rFonts w:ascii="Calibri" w:hAnsi="Calibri" w:eastAsia="Calibri"/>
                <w:b w:val="0"/>
                <w:color w:val="241D28"/>
                <w:sz w:val="18"/>
              </w:rPr>
              <w:t>P2</w:t>
            </w:r>
          </w:p>
        </w:tc>
      </w:tr>
      <w:tr>
        <w:tc>
          <w:tcPr>
            <w:tcW w:type="dxa" w:w="1600"/>
            <w:tcMar>
              <w:top w:w="80" w:type="dxa"/>
              <w:start w:w="120" w:type="dxa"/>
              <w:bottom w:w="80" w:type="dxa"/>
              <w:end w:w="120" w:type="dxa"/>
            </w:tcMar>
            <w:vAlign w:val="center"/>
          </w:tcPr>
          <w:p>
            <w:r>
              <w:rPr>
                <w:rFonts w:ascii="Calibri" w:hAnsi="Calibri" w:eastAsia="Calibri"/>
                <w:b/>
                <w:color w:val="241D28"/>
                <w:sz w:val="18"/>
              </w:rPr>
              <w:t>hovered</w:t>
            </w:r>
          </w:p>
        </w:tc>
        <w:tc>
          <w:tcPr>
            <w:tcW w:type="dxa" w:w="6838"/>
            <w:tcMar>
              <w:top w:w="80" w:type="dxa"/>
              <w:start w:w="120" w:type="dxa"/>
              <w:bottom w:w="80" w:type="dxa"/>
              <w:end w:w="120" w:type="dxa"/>
            </w:tcMar>
            <w:vAlign w:val="center"/>
          </w:tcPr>
          <w:p>
            <w:r>
              <w:rPr>
                <w:rFonts w:ascii="Calibri" w:hAnsi="Calibri" w:eastAsia="Calibri"/>
                <w:b w:val="0"/>
                <w:color w:val="241D28"/>
                <w:sz w:val="18"/>
              </w:rPr>
              <w:t>stayed in one place in the air</w:t>
            </w:r>
          </w:p>
        </w:tc>
        <w:tc>
          <w:tcPr>
            <w:tcW w:type="dxa" w:w="1200"/>
            <w:tcMar>
              <w:top w:w="80" w:type="dxa"/>
              <w:start w:w="120" w:type="dxa"/>
              <w:bottom w:w="80" w:type="dxa"/>
              <w:end w:w="120" w:type="dxa"/>
            </w:tcMar>
            <w:vAlign w:val="center"/>
          </w:tcPr>
          <w:p>
            <w:r>
              <w:rPr>
                <w:rFonts w:ascii="Calibri" w:hAnsi="Calibri" w:eastAsia="Calibri"/>
                <w:b w:val="0"/>
                <w:color w:val="241D28"/>
                <w:sz w:val="18"/>
              </w:rPr>
              <w:t>P4</w:t>
            </w:r>
          </w:p>
        </w:tc>
      </w:tr>
      <w:tr>
        <w:tc>
          <w:tcPr>
            <w:tcW w:type="dxa" w:w="1600"/>
            <w:tcMar>
              <w:top w:w="80" w:type="dxa"/>
              <w:start w:w="120" w:type="dxa"/>
              <w:bottom w:w="80" w:type="dxa"/>
              <w:end w:w="120" w:type="dxa"/>
            </w:tcMar>
            <w:vAlign w:val="center"/>
          </w:tcPr>
          <w:p>
            <w:r>
              <w:rPr>
                <w:rFonts w:ascii="Calibri" w:hAnsi="Calibri" w:eastAsia="Calibri"/>
                <w:b/>
                <w:color w:val="241D28"/>
                <w:sz w:val="18"/>
              </w:rPr>
              <w:t>coax</w:t>
            </w:r>
          </w:p>
        </w:tc>
        <w:tc>
          <w:tcPr>
            <w:tcW w:type="dxa" w:w="6838"/>
            <w:tcMar>
              <w:top w:w="80" w:type="dxa"/>
              <w:start w:w="120" w:type="dxa"/>
              <w:bottom w:w="80" w:type="dxa"/>
              <w:end w:w="120" w:type="dxa"/>
            </w:tcMar>
            <w:vAlign w:val="center"/>
          </w:tcPr>
          <w:p>
            <w:r>
              <w:rPr>
                <w:rFonts w:ascii="Calibri" w:hAnsi="Calibri" w:eastAsia="Calibri"/>
                <w:b w:val="0"/>
                <w:color w:val="241D28"/>
                <w:sz w:val="18"/>
              </w:rPr>
              <w:t>gently persuade or encourage</w:t>
            </w:r>
          </w:p>
        </w:tc>
        <w:tc>
          <w:tcPr>
            <w:tcW w:type="dxa" w:w="1200"/>
            <w:tcMar>
              <w:top w:w="80" w:type="dxa"/>
              <w:start w:w="120" w:type="dxa"/>
              <w:bottom w:w="80" w:type="dxa"/>
              <w:end w:w="120" w:type="dxa"/>
            </w:tcMar>
            <w:vAlign w:val="center"/>
          </w:tcPr>
          <w:p>
            <w:r>
              <w:rPr>
                <w:rFonts w:ascii="Calibri" w:hAnsi="Calibri" w:eastAsia="Calibri"/>
                <w:b w:val="0"/>
                <w:color w:val="241D28"/>
                <w:sz w:val="18"/>
              </w:rPr>
              <w:t>P8</w:t>
            </w:r>
          </w:p>
        </w:tc>
      </w:tr>
      <w:tr>
        <w:tc>
          <w:tcPr>
            <w:tcW w:type="dxa" w:w="1600"/>
            <w:tcMar>
              <w:top w:w="80" w:type="dxa"/>
              <w:start w:w="120" w:type="dxa"/>
              <w:bottom w:w="80" w:type="dxa"/>
              <w:end w:w="120" w:type="dxa"/>
            </w:tcMar>
            <w:vAlign w:val="center"/>
          </w:tcPr>
          <w:p>
            <w:r>
              <w:rPr>
                <w:rFonts w:ascii="Calibri" w:hAnsi="Calibri" w:eastAsia="Calibri"/>
                <w:b/>
                <w:color w:val="241D28"/>
                <w:sz w:val="18"/>
              </w:rPr>
              <w:t>sputter</w:t>
            </w:r>
          </w:p>
        </w:tc>
        <w:tc>
          <w:tcPr>
            <w:tcW w:type="dxa" w:w="6838"/>
            <w:tcMar>
              <w:top w:w="80" w:type="dxa"/>
              <w:start w:w="120" w:type="dxa"/>
              <w:bottom w:w="80" w:type="dxa"/>
              <w:end w:w="120" w:type="dxa"/>
            </w:tcMar>
            <w:vAlign w:val="center"/>
          </w:tcPr>
          <w:p>
            <w:r>
              <w:rPr>
                <w:rFonts w:ascii="Calibri" w:hAnsi="Calibri" w:eastAsia="Calibri"/>
                <w:b w:val="0"/>
                <w:color w:val="241D28"/>
                <w:sz w:val="18"/>
              </w:rPr>
              <w:t>make short, uneven bursting sounds</w:t>
            </w:r>
          </w:p>
        </w:tc>
        <w:tc>
          <w:tcPr>
            <w:tcW w:type="dxa" w:w="1200"/>
            <w:tcMar>
              <w:top w:w="80" w:type="dxa"/>
              <w:start w:w="120" w:type="dxa"/>
              <w:bottom w:w="80" w:type="dxa"/>
              <w:end w:w="120" w:type="dxa"/>
            </w:tcMar>
            <w:vAlign w:val="center"/>
          </w:tcPr>
          <w:p>
            <w:r>
              <w:rPr>
                <w:rFonts w:ascii="Calibri" w:hAnsi="Calibri" w:eastAsia="Calibri"/>
                <w:b w:val="0"/>
                <w:color w:val="241D28"/>
                <w:sz w:val="18"/>
              </w:rPr>
              <w:t>P10</w:t>
            </w:r>
          </w:p>
        </w:tc>
      </w:tr>
      <w:tr>
        <w:tc>
          <w:tcPr>
            <w:tcW w:type="dxa" w:w="1600"/>
            <w:tcMar>
              <w:top w:w="80" w:type="dxa"/>
              <w:start w:w="120" w:type="dxa"/>
              <w:bottom w:w="80" w:type="dxa"/>
              <w:end w:w="120" w:type="dxa"/>
            </w:tcMar>
            <w:vAlign w:val="center"/>
          </w:tcPr>
          <w:p>
            <w:r>
              <w:rPr>
                <w:rFonts w:ascii="Calibri" w:hAnsi="Calibri" w:eastAsia="Calibri"/>
                <w:b/>
                <w:color w:val="241D28"/>
                <w:sz w:val="18"/>
              </w:rPr>
              <w:t>staggered</w:t>
            </w:r>
          </w:p>
        </w:tc>
        <w:tc>
          <w:tcPr>
            <w:tcW w:type="dxa" w:w="6838"/>
            <w:tcMar>
              <w:top w:w="80" w:type="dxa"/>
              <w:start w:w="120" w:type="dxa"/>
              <w:bottom w:w="80" w:type="dxa"/>
              <w:end w:w="120" w:type="dxa"/>
            </w:tcMar>
            <w:vAlign w:val="center"/>
          </w:tcPr>
          <w:p>
            <w:r>
              <w:rPr>
                <w:rFonts w:ascii="Calibri" w:hAnsi="Calibri" w:eastAsia="Calibri"/>
                <w:b w:val="0"/>
                <w:color w:val="241D28"/>
                <w:sz w:val="18"/>
              </w:rPr>
              <w:t>moved unsteadily as if likely to fall</w:t>
            </w:r>
          </w:p>
        </w:tc>
        <w:tc>
          <w:tcPr>
            <w:tcW w:type="dxa" w:w="1200"/>
            <w:tcMar>
              <w:top w:w="80" w:type="dxa"/>
              <w:start w:w="120" w:type="dxa"/>
              <w:bottom w:w="80" w:type="dxa"/>
              <w:end w:w="120" w:type="dxa"/>
            </w:tcMar>
            <w:vAlign w:val="center"/>
          </w:tcPr>
          <w:p>
            <w:r>
              <w:rPr>
                <w:rFonts w:ascii="Calibri" w:hAnsi="Calibri" w:eastAsia="Calibri"/>
                <w:b w:val="0"/>
                <w:color w:val="241D28"/>
                <w:sz w:val="18"/>
              </w:rPr>
              <w:t>P12</w:t>
            </w:r>
          </w:p>
        </w:tc>
      </w:tr>
    </w:tbl>
    <w:p>
      <w:pPr>
        <w:pStyle w:val="Heading2"/>
      </w:pPr>
      <w:r>
        <w:t>Questions with answer guidance</w:t>
      </w:r>
    </w:p>
    <w:p>
      <w:pPr>
        <w:pStyle w:val="Heading3"/>
      </w:pPr>
      <w:r>
        <w:t>Why is Eliza two and a half hours late? [P4-P10 and P39]</w:t>
      </w:r>
    </w:p>
    <w:p>
      <w:pPr>
        <w:keepLines/>
        <w:ind w:left="227"/>
      </w:pPr>
      <w:r>
        <w:t>Windwhistler crashed in the Cackling Woods, where the trees held the broom. Eliza spent more than two hours getting free, then Windwhistler lost height and hit the Weather Tower.</w:t>
      </w:r>
    </w:p>
    <w:p>
      <w:pPr>
        <w:pStyle w:val="Heading3"/>
      </w:pPr>
      <w:r>
        <w:t>How does the crowd make Eliza feel? Which detail is strongest? [P12-P21]</w:t>
      </w:r>
    </w:p>
    <w:p>
      <w:pPr>
        <w:keepLines/>
        <w:ind w:left="227"/>
      </w:pPr>
      <w:r>
        <w:t>Embarrassed, exposed or anxious are well supported. Strong evidence includes her ears burning, her failed attempt to speak and her sharp awareness of her socks, hat and broken broom piece.</w:t>
      </w:r>
    </w:p>
    <w:p>
      <w:pPr>
        <w:pStyle w:val="Heading3"/>
      </w:pPr>
      <w:r>
        <w:t>What does Tilda do that begins to change Eliza's experience? [P23-P29, P40 and P52-P65]</w:t>
      </w:r>
    </w:p>
    <w:p>
      <w:pPr>
        <w:keepLines/>
        <w:ind w:left="227"/>
      </w:pPr>
      <w:r>
        <w:t>Tilda catches and returns the hat, offers directions, waves, waits in the dormitory, shuts the door on the giggling pupils and shares the joke. These small choices help Eliza feel less alone.</w:t>
      </w:r>
    </w:p>
    <w:p>
      <w:pPr>
        <w:pStyle w:val="Heading3"/>
      </w:pPr>
      <w:r>
        <w:t>Why is the Wand Room moment an effective chapter hook? [P45-P50 and P63-P64]</w:t>
      </w:r>
    </w:p>
    <w:p>
      <w:pPr>
        <w:keepLines/>
        <w:ind w:left="227"/>
      </w:pPr>
      <w:r>
        <w:t>It promises a new beginning but warns that only one wand remains. The reader is left wondering what the last wand is like and whether it will suit Eliza.</w:t>
      </w:r>
    </w:p>
    <w:p>
      <w:pPr>
        <w:pStyle w:val="Heading3"/>
      </w:pPr>
      <w:r>
        <w:t>What does the final 'Perfect' mean? [P62-P68]</w:t>
      </w:r>
    </w:p>
    <w:p>
      <w:pPr>
        <w:keepLines/>
        <w:ind w:left="227"/>
      </w:pPr>
      <w:r>
        <w:t>It is dry irony, not simple misery. Eliza's arrival has been disastrous, but she has laughed with Tilda, feels the knot loosen and knows she will not face tomorrow alone. A strong answer keeps both sides of that turn.</w:t>
      </w:r>
    </w:p>
    <w:p>
      <w:pPr>
        <w:pStyle w:val="Heading2"/>
      </w:pPr>
      <w:r>
        <w:t>Choose one response</w:t>
      </w:r>
    </w:p>
    <w:p>
      <w:pPr>
        <w:numPr>
          <w:ilvl w:val="0"/>
          <w:numId w:val="10"/>
        </w:numPr>
      </w:pPr>
      <w:r>
        <w:t>Evidence chain: detail, what it suggests, feeling and explanation.</w:t>
      </w:r>
    </w:p>
    <w:p>
      <w:pPr>
        <w:numPr>
          <w:ilvl w:val="0"/>
          <w:numId w:val="10"/>
        </w:numPr>
      </w:pPr>
      <w:r>
        <w:t>Late-arrival record: arrival, mishap and Bramble's response in a concise official voice.</w:t>
      </w:r>
    </w:p>
    <w:p>
      <w:pPr>
        <w:numPr>
          <w:ilvl w:val="0"/>
          <w:numId w:val="10"/>
        </w:numPr>
      </w:pPr>
      <w:r>
        <w:t>Setting response: explain how one moving or personified school detail affects the mood.</w:t>
      </w:r>
    </w:p>
    <w:p>
      <w:pPr>
        <w:pStyle w:val="Heading2"/>
      </w:pPr>
      <w:r>
        <w:t>Support</w:t>
      </w:r>
    </w:p>
    <w:p>
      <w:pPr>
        <w:numPr>
          <w:ilvl w:val="0"/>
          <w:numId w:val="10"/>
        </w:numPr>
      </w:pPr>
      <w:r>
        <w:t>Read aloud and chunk the chapter into arrival, welcome, Wand Room and dormitory.</w:t>
      </w:r>
    </w:p>
    <w:p>
      <w:pPr>
        <w:numPr>
          <w:ilvl w:val="0"/>
          <w:numId w:val="10"/>
        </w:numPr>
      </w:pPr>
      <w:r>
        <w:t>Offer the stems: I notice... This suggests... Eliza may feel...</w:t>
      </w:r>
    </w:p>
    <w:p>
      <w:pPr>
        <w:numPr>
          <w:ilvl w:val="0"/>
          <w:numId w:val="10"/>
        </w:numPr>
      </w:pPr>
      <w:r>
        <w:t>Accept an oral, drawn, sequenced or scribed response before extended writing.</w:t>
      </w:r>
    </w:p>
    <w:p>
      <w:pPr>
        <w:numPr>
          <w:ilvl w:val="0"/>
          <w:numId w:val="10"/>
        </w:numPr>
      </w:pPr>
      <w:r>
        <w:t>Reduce copying and give one instruction at a time where this removes a barrier.</w:t>
      </w:r>
    </w:p>
    <w:p>
      <w:pPr>
        <w:pStyle w:val="Heading2"/>
      </w:pPr>
      <w:r>
        <w:t>Deepen</w:t>
      </w:r>
    </w:p>
    <w:p>
      <w:pPr>
        <w:numPr>
          <w:ilvl w:val="0"/>
          <w:numId w:val="10"/>
        </w:numPr>
      </w:pPr>
      <w:r>
        <w:t>Compare two possible feelings at the same moment and decide which evidence is stronger.</w:t>
      </w:r>
    </w:p>
    <w:p>
      <w:pPr>
        <w:numPr>
          <w:ilvl w:val="0"/>
          <w:numId w:val="10"/>
        </w:numPr>
      </w:pPr>
      <w:r>
        <w:t>Explain how the narration creates sympathy while keeping the arrival funny.</w:t>
      </w:r>
    </w:p>
    <w:p>
      <w:pPr>
        <w:numPr>
          <w:ilvl w:val="0"/>
          <w:numId w:val="10"/>
        </w:numPr>
      </w:pPr>
      <w:r>
        <w:t>Evaluate how the last-wand warning changes the meaning of 'beginning'.</w:t>
      </w:r>
    </w:p>
    <w:p>
      <w:pPr>
        <w:shd w:fill="F0E7D8"/>
        <w:pBdr>
          <w:left w:val="single" w:sz="16" w:space="8" w:color="A4783F"/>
        </w:pBdr>
        <w:spacing w:before="100" w:after="140"/>
        <w:ind w:left="227" w:right="170"/>
      </w:pPr>
      <w:r>
        <w:rPr>
          <w:b/>
        </w:rPr>
        <w:t xml:space="preserve">Exit check. </w:t>
      </w:r>
      <w:r>
        <w:t>Eliza feels less alone by the end because... The strongest evidence is...</w:t>
      </w:r>
    </w:p>
    <w:p>
      <w:r>
        <w:br w:type="page"/>
      </w:r>
    </w:p>
    <w:p>
      <w:pPr>
        <w:pStyle w:val="Kicker"/>
      </w:pPr>
      <w:r>
        <w:t>CHAPTER 1 | PUPIL PAGE</w:t>
      </w:r>
    </w:p>
    <w:p>
      <w:pPr>
        <w:pStyle w:val="Heading1"/>
      </w:pPr>
      <w:r>
        <w:t>Chapter 1: evidence and prediction</w:t>
      </w:r>
    </w:p>
    <w:p>
      <w:r>
        <w:t>Use a detail from the chapter. You may write, draw, label or ask an adult to scribe.</w:t>
      </w:r>
    </w:p>
    <w:p>
      <w:pPr>
        <w:pStyle w:val="Smallprint"/>
      </w:pPr>
      <w:r>
        <w:t>Name: ______________________________________    Date: ____________________</w:t>
      </w:r>
    </w:p>
    <w:p>
      <w:pPr>
        <w:pStyle w:val="Pupilprompt"/>
        <w:numPr>
          <w:ilvl w:val="0"/>
          <w:numId w:val="14"/>
        </w:numPr>
      </w:pPr>
      <w:r>
        <w:t>At first Eliza may feel... I noticed... This suggests...</w:t>
      </w:r>
    </w:p>
    <w:p>
      <w:pPr>
        <w:spacing w:before="60" w:after="60" w:line="240" w:lineRule="auto"/>
        <w:pBdr>
          <w:bottom w:val="single" w:sz="4" w:space="3" w:color="D7CCDA"/>
        </w:pBdr>
      </w:pPr>
    </w:p>
    <w:p>
      <w:pPr>
        <w:spacing w:before="60" w:after="60" w:line="240" w:lineRule="auto"/>
        <w:pBdr>
          <w:bottom w:val="single" w:sz="4" w:space="3" w:color="D7CCDA"/>
        </w:pBdr>
      </w:pPr>
    </w:p>
    <w:p>
      <w:pPr>
        <w:spacing w:before="60" w:after="60" w:line="240" w:lineRule="auto"/>
        <w:pBdr>
          <w:bottom w:val="single" w:sz="4" w:space="3" w:color="D7CCDA"/>
        </w:pBdr>
      </w:pPr>
    </w:p>
    <w:p>
      <w:pPr>
        <w:spacing w:before="60" w:after="60" w:line="240" w:lineRule="auto"/>
        <w:pBdr>
          <w:bottom w:val="single" w:sz="4" w:space="3" w:color="D7CCDA"/>
        </w:pBdr>
      </w:pPr>
    </w:p>
    <w:p>
      <w:pPr>
        <w:pStyle w:val="Pupilprompt"/>
        <w:numPr>
          <w:ilvl w:val="0"/>
          <w:numId w:val="14"/>
        </w:numPr>
      </w:pPr>
      <w:r>
        <w:t>Tilda changes the moment when... This matters because...</w:t>
      </w:r>
    </w:p>
    <w:p>
      <w:pPr>
        <w:spacing w:before="60" w:after="60" w:line="240" w:lineRule="auto"/>
        <w:pBdr>
          <w:bottom w:val="single" w:sz="4" w:space="3" w:color="D7CCDA"/>
        </w:pBdr>
      </w:pPr>
    </w:p>
    <w:p>
      <w:pPr>
        <w:spacing w:before="60" w:after="60" w:line="240" w:lineRule="auto"/>
        <w:pBdr>
          <w:bottom w:val="single" w:sz="4" w:space="3" w:color="D7CCDA"/>
        </w:pBdr>
      </w:pPr>
    </w:p>
    <w:p>
      <w:pPr>
        <w:spacing w:before="60" w:after="60" w:line="240" w:lineRule="auto"/>
        <w:pBdr>
          <w:bottom w:val="single" w:sz="4" w:space="3" w:color="D7CCDA"/>
        </w:pBdr>
      </w:pPr>
    </w:p>
    <w:p>
      <w:pPr>
        <w:spacing w:before="60" w:after="60" w:line="240" w:lineRule="auto"/>
        <w:pBdr>
          <w:bottom w:val="single" w:sz="4" w:space="3" w:color="D7CCDA"/>
        </w:pBdr>
      </w:pPr>
    </w:p>
    <w:p>
      <w:pPr>
        <w:pStyle w:val="Pupilprompt"/>
        <w:numPr>
          <w:ilvl w:val="0"/>
          <w:numId w:val="14"/>
        </w:numPr>
      </w:pPr>
      <w:r>
        <w:t>My prediction about the last wand is... I used the clue...</w:t>
      </w:r>
    </w:p>
    <w:p>
      <w:pPr>
        <w:spacing w:before="60" w:after="60" w:line="240" w:lineRule="auto"/>
        <w:pBdr>
          <w:bottom w:val="single" w:sz="4" w:space="3" w:color="D7CCDA"/>
        </w:pBdr>
      </w:pPr>
    </w:p>
    <w:p>
      <w:pPr>
        <w:spacing w:before="60" w:after="60" w:line="240" w:lineRule="auto"/>
        <w:pBdr>
          <w:bottom w:val="single" w:sz="4" w:space="3" w:color="D7CCDA"/>
        </w:pBdr>
      </w:pPr>
    </w:p>
    <w:p>
      <w:pPr>
        <w:spacing w:before="60" w:after="60" w:line="240" w:lineRule="auto"/>
        <w:pBdr>
          <w:bottom w:val="single" w:sz="4" w:space="3" w:color="D7CCDA"/>
        </w:pBdr>
      </w:pPr>
    </w:p>
    <w:p>
      <w:pPr>
        <w:spacing w:before="60" w:after="60" w:line="240" w:lineRule="auto"/>
        <w:pBdr>
          <w:bottom w:val="single" w:sz="4" w:space="3" w:color="D7CCDA"/>
        </w:pBdr>
      </w:pPr>
    </w:p>
    <w:p>
      <w:r>
        <w:br w:type="page"/>
      </w:r>
    </w:p>
    <w:p>
      <w:pPr>
        <w:pStyle w:val="Kicker"/>
      </w:pPr>
      <w:r>
        <w:t>CHAPTER 2 | TEACHER PLAN</w:t>
      </w:r>
    </w:p>
    <w:p>
      <w:pPr>
        <w:pStyle w:val="Heading1"/>
      </w:pPr>
      <w:r>
        <w:t>The Wrong Wand</w:t>
      </w:r>
    </w:p>
    <w:p>
      <w:pPr>
        <w:pStyle w:val="Subtitle"/>
      </w:pPr>
      <w:r>
        <w:t>Evidence, understatement, notice editing and agency</w:t>
      </w:r>
    </w:p>
    <w:p>
      <w:pPr>
        <w:shd w:fill="EEE7F3"/>
        <w:pBdr>
          <w:left w:val="single" w:sz="16" w:space="8" w:color="4D2D65"/>
        </w:pBdr>
        <w:spacing w:before="100" w:after="140"/>
        <w:ind w:left="227" w:right="170"/>
      </w:pPr>
      <w:r>
        <w:rPr>
          <w:b/>
        </w:rPr>
        <w:t xml:space="preserve">Best fit. </w:t>
      </w:r>
      <w:r>
        <w:t>Use after pupils have read or heard Chapter 2. Do not reveal the creature from Chapter 3; predictions should stay open and evidence based.</w:t>
      </w:r>
    </w:p>
    <w:p>
      <w:pPr>
        <w:pStyle w:val="Heading2"/>
      </w:pPr>
      <w:r>
        <w:t>Learning intentions</w:t>
      </w:r>
    </w:p>
    <w:p>
      <w:pPr>
        <w:numPr>
          <w:ilvl w:val="0"/>
          <w:numId w:val="10"/>
        </w:numPr>
      </w:pPr>
      <w:r>
        <w:t>Distinguish what happens from a character's judgement, using evidence to explain a view.</w:t>
      </w:r>
    </w:p>
    <w:p>
      <w:pPr>
        <w:numPr>
          <w:ilvl w:val="0"/>
          <w:numId w:val="10"/>
        </w:numPr>
      </w:pPr>
      <w:r>
        <w:t>Edit a notice for spelling, accuracy, audience and meaning.</w:t>
      </w:r>
    </w:p>
    <w:p>
      <w:pPr>
        <w:pStyle w:val="Heading2"/>
      </w:pPr>
      <w:r>
        <w:t>Prepare</w:t>
      </w:r>
    </w:p>
    <w:p>
      <w:pPr>
        <w:numPr>
          <w:ilvl w:val="0"/>
          <w:numId w:val="15"/>
        </w:numPr>
      </w:pPr>
      <w:r>
        <w:t>Have Chapter 2 open and mark the Wand Room, Spell Practice and noticeboard scenes.</w:t>
      </w:r>
    </w:p>
    <w:p>
      <w:pPr>
        <w:numPr>
          <w:ilvl w:val="0"/>
          <w:numId w:val="15"/>
        </w:numPr>
      </w:pPr>
      <w:r>
        <w:t>Choose the 15, 30 or 45-60 minute route below.</w:t>
      </w:r>
    </w:p>
    <w:p>
      <w:pPr>
        <w:numPr>
          <w:ilvl w:val="0"/>
          <w:numId w:val="15"/>
        </w:numPr>
      </w:pPr>
      <w:r>
        <w:t>Print the one-page pupil sheet only if pupils will record.</w:t>
      </w:r>
    </w:p>
    <w:p>
      <w:pPr>
        <w:pStyle w:val="Heading2"/>
      </w:pPr>
      <w:r>
        <w:t>Choose one route</w:t>
      </w:r>
    </w:p>
    <w:p>
      <w:r>
        <w:rPr>
          <w:rFonts w:ascii="Calibri" w:hAnsi="Calibri" w:eastAsia="Calibri"/>
          <w:b/>
          <w:color w:val="4D2D65"/>
        </w:rPr>
        <w:t xml:space="preserve">15 minutes | Read and predict. </w:t>
      </w:r>
      <w:r>
        <w:t>Read the chapter aloud, answer one evidence question, then make a careful ending prediction.</w:t>
      </w:r>
    </w:p>
    <w:p>
      <w:r>
        <w:rPr>
          <w:rFonts w:ascii="Calibri" w:hAnsi="Calibri" w:eastAsia="Calibri"/>
          <w:b/>
          <w:color w:val="4D2D65"/>
        </w:rPr>
        <w:t xml:space="preserve">30 minutes | Core route. </w:t>
      </w:r>
      <w:r>
        <w:t>Add the key vocabulary, test Drusillda's claim against the evidence and compare the two notices.</w:t>
      </w:r>
    </w:p>
    <w:p>
      <w:r>
        <w:rPr>
          <w:rFonts w:ascii="Calibri" w:hAnsi="Calibri" w:eastAsia="Calibri"/>
          <w:b/>
          <w:color w:val="4D2D65"/>
        </w:rPr>
        <w:t xml:space="preserve">45-60 minutes | Full route. </w:t>
      </w:r>
      <w:r>
        <w:t>Sequence the wand mishaps, complete the evidence task, edit a notice and write a justified prediction.</w:t>
      </w:r>
    </w:p>
    <w:p>
      <w:pPr>
        <w:pStyle w:val="Heading2"/>
      </w:pPr>
      <w:r>
        <w:t>Teach in five moves</w:t>
      </w:r>
    </w:p>
    <w:p>
      <w:pPr>
        <w:keepLines/>
        <w:numPr>
          <w:ilvl w:val="0"/>
          <w:numId w:val="16"/>
        </w:numPr>
      </w:pPr>
      <w:r>
        <w:t>Set the purpose: Ask pupils to separate the intended spell, what actually happens and what another character claims it means.</w:t>
      </w:r>
    </w:p>
    <w:p>
      <w:pPr>
        <w:keepLines/>
        <w:numPr>
          <w:ilvl w:val="0"/>
          <w:numId w:val="16"/>
        </w:numPr>
      </w:pPr>
      <w:r>
        <w:t>Read in three chunks: Pause after the Wand Room, Spell Practice and noticeboard. Keep the final creature prediction open.</w:t>
      </w:r>
    </w:p>
    <w:p>
      <w:pPr>
        <w:keepLines/>
        <w:numPr>
          <w:ilvl w:val="0"/>
          <w:numId w:val="16"/>
        </w:numPr>
      </w:pPr>
      <w:r>
        <w:t>Model judgement against evidence: Drusillda says Eliza lacks proper magic. The sheep, floating pebble and transformations show that magic is present but uncontrolled.</w:t>
      </w:r>
    </w:p>
    <w:p>
      <w:pPr>
        <w:keepLines/>
        <w:numPr>
          <w:ilvl w:val="0"/>
          <w:numId w:val="16"/>
        </w:numPr>
      </w:pPr>
      <w:r>
        <w:t>Edit for meaning: Compare the incorrect and corrected notice. Notice both WHIMKIN spelling and who chooses whom.</w:t>
      </w:r>
    </w:p>
    <w:p>
      <w:pPr>
        <w:keepLines/>
        <w:numPr>
          <w:ilvl w:val="0"/>
          <w:numId w:val="16"/>
        </w:numPr>
      </w:pPr>
      <w:r>
        <w:t>Check and finish: Pupils justify one prediction with stated or implied evidence, without naming a creature from a later chapter.</w:t>
      </w:r>
    </w:p>
    <w:p>
      <w:pPr>
        <w:pStyle w:val="Heading2"/>
      </w:pPr>
      <w:r>
        <w:t>Vocabulary</w:t>
      </w:r>
    </w:p>
    <w:tbl>
      <w:tblPr>
        <w:tblStyle w:val="TableGrid"/>
        <w:jc w:val="left"/>
        <w:tblLook w:firstColumn="1" w:firstRow="1" w:lastColumn="0" w:lastRow="0" w:noHBand="0" w:noVBand="1" w:val="04A0"/>
        <w:tblW w:w="9638" w:type="dxa"/>
        <w:tblInd w:w="120" w:type="dxa"/>
        <w:tblLayout w:type="fixed"/>
      </w:tblPr>
      <w:tblGrid>
        <w:gridCol w:w="1600"/>
        <w:gridCol w:w="6838"/>
        <w:gridCol w:w="1200"/>
      </w:tblGrid>
      <w:tr>
        <w:trPr>
          <w:tblHeader w:val="true"/>
        </w:trPr>
        <w:tc>
          <w:tcPr>
            <w:tcW w:type="dxa" w:w="1600"/>
            <w:shd w:fill="E8EEF5"/>
            <w:tcMar>
              <w:top w:w="80" w:type="dxa"/>
              <w:start w:w="120" w:type="dxa"/>
              <w:bottom w:w="80" w:type="dxa"/>
              <w:end w:w="120" w:type="dxa"/>
            </w:tcMar>
            <w:vAlign w:val="center"/>
          </w:tcPr>
          <w:p>
            <w:r>
              <w:rPr>
                <w:rFonts w:ascii="Calibri" w:hAnsi="Calibri" w:eastAsia="Calibri"/>
                <w:b/>
                <w:color w:val="2B193A"/>
                <w:sz w:val="18"/>
              </w:rPr>
              <w:t>Word</w:t>
            </w:r>
          </w:p>
        </w:tc>
        <w:tc>
          <w:tcPr>
            <w:tcW w:type="dxa" w:w="6838"/>
            <w:shd w:fill="E8EEF5"/>
            <w:tcMar>
              <w:top w:w="80" w:type="dxa"/>
              <w:start w:w="120" w:type="dxa"/>
              <w:bottom w:w="80" w:type="dxa"/>
              <w:end w:w="120" w:type="dxa"/>
            </w:tcMar>
            <w:vAlign w:val="center"/>
          </w:tcPr>
          <w:p>
            <w:r>
              <w:rPr>
                <w:rFonts w:ascii="Calibri" w:hAnsi="Calibri" w:eastAsia="Calibri"/>
                <w:b/>
                <w:color w:val="2B193A"/>
                <w:sz w:val="18"/>
              </w:rPr>
              <w:t>Meaning</w:t>
            </w:r>
          </w:p>
        </w:tc>
        <w:tc>
          <w:tcPr>
            <w:tcW w:type="dxa" w:w="1200"/>
            <w:shd w:fill="E8EEF5"/>
            <w:tcMar>
              <w:top w:w="80" w:type="dxa"/>
              <w:start w:w="120" w:type="dxa"/>
              <w:bottom w:w="80" w:type="dxa"/>
              <w:end w:w="120" w:type="dxa"/>
            </w:tcMar>
            <w:vAlign w:val="center"/>
          </w:tcPr>
          <w:p>
            <w:r>
              <w:rPr>
                <w:rFonts w:ascii="Calibri" w:hAnsi="Calibri" w:eastAsia="Calibri"/>
                <w:b/>
                <w:color w:val="2B193A"/>
                <w:sz w:val="18"/>
              </w:rPr>
              <w:t>Reference</w:t>
            </w:r>
          </w:p>
        </w:tc>
      </w:tr>
      <w:tr>
        <w:tc>
          <w:tcPr>
            <w:tcW w:type="dxa" w:w="1600"/>
            <w:tcMar>
              <w:top w:w="80" w:type="dxa"/>
              <w:start w:w="120" w:type="dxa"/>
              <w:bottom w:w="80" w:type="dxa"/>
              <w:end w:w="120" w:type="dxa"/>
            </w:tcMar>
            <w:vAlign w:val="center"/>
          </w:tcPr>
          <w:p>
            <w:r>
              <w:rPr>
                <w:rFonts w:ascii="Calibri" w:hAnsi="Calibri" w:eastAsia="Calibri"/>
                <w:b/>
                <w:color w:val="241D28"/>
                <w:sz w:val="18"/>
              </w:rPr>
              <w:t>battered</w:t>
            </w:r>
          </w:p>
        </w:tc>
        <w:tc>
          <w:tcPr>
            <w:tcW w:type="dxa" w:w="6838"/>
            <w:tcMar>
              <w:top w:w="80" w:type="dxa"/>
              <w:start w:w="120" w:type="dxa"/>
              <w:bottom w:w="80" w:type="dxa"/>
              <w:end w:w="120" w:type="dxa"/>
            </w:tcMar>
            <w:vAlign w:val="center"/>
          </w:tcPr>
          <w:p>
            <w:r>
              <w:rPr>
                <w:rFonts w:ascii="Calibri" w:hAnsi="Calibri" w:eastAsia="Calibri"/>
                <w:b w:val="0"/>
                <w:color w:val="241D28"/>
                <w:sz w:val="18"/>
              </w:rPr>
              <w:t>damaged by repeated knocks or use</w:t>
            </w:r>
          </w:p>
        </w:tc>
        <w:tc>
          <w:tcPr>
            <w:tcW w:type="dxa" w:w="1200"/>
            <w:tcMar>
              <w:top w:w="80" w:type="dxa"/>
              <w:start w:w="120" w:type="dxa"/>
              <w:bottom w:w="80" w:type="dxa"/>
              <w:end w:w="120" w:type="dxa"/>
            </w:tcMar>
            <w:vAlign w:val="center"/>
          </w:tcPr>
          <w:p>
            <w:r>
              <w:rPr>
                <w:rFonts w:ascii="Calibri" w:hAnsi="Calibri" w:eastAsia="Calibri"/>
                <w:b w:val="0"/>
                <w:color w:val="241D28"/>
                <w:sz w:val="18"/>
              </w:rPr>
              <w:t>P4</w:t>
            </w:r>
          </w:p>
        </w:tc>
      </w:tr>
      <w:tr>
        <w:tc>
          <w:tcPr>
            <w:tcW w:type="dxa" w:w="1600"/>
            <w:tcMar>
              <w:top w:w="80" w:type="dxa"/>
              <w:start w:w="120" w:type="dxa"/>
              <w:bottom w:w="80" w:type="dxa"/>
              <w:end w:w="120" w:type="dxa"/>
            </w:tcMar>
            <w:vAlign w:val="center"/>
          </w:tcPr>
          <w:p>
            <w:r>
              <w:rPr>
                <w:rFonts w:ascii="Calibri" w:hAnsi="Calibri" w:eastAsia="Calibri"/>
                <w:b/>
                <w:color w:val="241D28"/>
                <w:sz w:val="18"/>
              </w:rPr>
              <w:t>archives</w:t>
            </w:r>
          </w:p>
        </w:tc>
        <w:tc>
          <w:tcPr>
            <w:tcW w:type="dxa" w:w="6838"/>
            <w:tcMar>
              <w:top w:w="80" w:type="dxa"/>
              <w:start w:w="120" w:type="dxa"/>
              <w:bottom w:w="80" w:type="dxa"/>
              <w:end w:w="120" w:type="dxa"/>
            </w:tcMar>
            <w:vAlign w:val="center"/>
          </w:tcPr>
          <w:p>
            <w:r>
              <w:rPr>
                <w:rFonts w:ascii="Calibri" w:hAnsi="Calibri" w:eastAsia="Calibri"/>
                <w:b w:val="0"/>
                <w:color w:val="241D28"/>
                <w:sz w:val="18"/>
              </w:rPr>
              <w:t>a collection of records or objects kept for their value</w:t>
            </w:r>
          </w:p>
        </w:tc>
        <w:tc>
          <w:tcPr>
            <w:tcW w:type="dxa" w:w="1200"/>
            <w:tcMar>
              <w:top w:w="80" w:type="dxa"/>
              <w:start w:w="120" w:type="dxa"/>
              <w:bottom w:w="80" w:type="dxa"/>
              <w:end w:w="120" w:type="dxa"/>
            </w:tcMar>
            <w:vAlign w:val="center"/>
          </w:tcPr>
          <w:p>
            <w:r>
              <w:rPr>
                <w:rFonts w:ascii="Calibri" w:hAnsi="Calibri" w:eastAsia="Calibri"/>
                <w:b w:val="0"/>
                <w:color w:val="241D28"/>
                <w:sz w:val="18"/>
              </w:rPr>
              <w:t>P9</w:t>
            </w:r>
          </w:p>
        </w:tc>
      </w:tr>
      <w:tr>
        <w:tc>
          <w:tcPr>
            <w:tcW w:type="dxa" w:w="1600"/>
            <w:tcMar>
              <w:top w:w="80" w:type="dxa"/>
              <w:start w:w="120" w:type="dxa"/>
              <w:bottom w:w="80" w:type="dxa"/>
              <w:end w:w="120" w:type="dxa"/>
            </w:tcMar>
            <w:vAlign w:val="center"/>
          </w:tcPr>
          <w:p>
            <w:r>
              <w:rPr>
                <w:rFonts w:ascii="Calibri" w:hAnsi="Calibri" w:eastAsia="Calibri"/>
                <w:b/>
                <w:color w:val="241D28"/>
                <w:sz w:val="18"/>
              </w:rPr>
              <w:t>gingerly</w:t>
            </w:r>
          </w:p>
        </w:tc>
        <w:tc>
          <w:tcPr>
            <w:tcW w:type="dxa" w:w="6838"/>
            <w:tcMar>
              <w:top w:w="80" w:type="dxa"/>
              <w:start w:w="120" w:type="dxa"/>
              <w:bottom w:w="80" w:type="dxa"/>
              <w:end w:w="120" w:type="dxa"/>
            </w:tcMar>
            <w:vAlign w:val="center"/>
          </w:tcPr>
          <w:p>
            <w:r>
              <w:rPr>
                <w:rFonts w:ascii="Calibri" w:hAnsi="Calibri" w:eastAsia="Calibri"/>
                <w:b w:val="0"/>
                <w:color w:val="241D28"/>
                <w:sz w:val="18"/>
              </w:rPr>
              <w:t>carefully because something may be risky</w:t>
            </w:r>
          </w:p>
        </w:tc>
        <w:tc>
          <w:tcPr>
            <w:tcW w:type="dxa" w:w="1200"/>
            <w:tcMar>
              <w:top w:w="80" w:type="dxa"/>
              <w:start w:w="120" w:type="dxa"/>
              <w:bottom w:w="80" w:type="dxa"/>
              <w:end w:w="120" w:type="dxa"/>
            </w:tcMar>
            <w:vAlign w:val="center"/>
          </w:tcPr>
          <w:p>
            <w:r>
              <w:rPr>
                <w:rFonts w:ascii="Calibri" w:hAnsi="Calibri" w:eastAsia="Calibri"/>
                <w:b w:val="0"/>
                <w:color w:val="241D28"/>
                <w:sz w:val="18"/>
              </w:rPr>
              <w:t>P13</w:t>
            </w:r>
          </w:p>
        </w:tc>
      </w:tr>
      <w:tr>
        <w:tc>
          <w:tcPr>
            <w:tcW w:type="dxa" w:w="1600"/>
            <w:tcMar>
              <w:top w:w="80" w:type="dxa"/>
              <w:start w:w="120" w:type="dxa"/>
              <w:bottom w:w="80" w:type="dxa"/>
              <w:end w:w="120" w:type="dxa"/>
            </w:tcMar>
            <w:vAlign w:val="center"/>
          </w:tcPr>
          <w:p>
            <w:r>
              <w:rPr>
                <w:rFonts w:ascii="Calibri" w:hAnsi="Calibri" w:eastAsia="Calibri"/>
                <w:b/>
                <w:color w:val="241D28"/>
                <w:sz w:val="18"/>
              </w:rPr>
              <w:t>summons</w:t>
            </w:r>
          </w:p>
        </w:tc>
        <w:tc>
          <w:tcPr>
            <w:tcW w:type="dxa" w:w="6838"/>
            <w:tcMar>
              <w:top w:w="80" w:type="dxa"/>
              <w:start w:w="120" w:type="dxa"/>
              <w:bottom w:w="80" w:type="dxa"/>
              <w:end w:w="120" w:type="dxa"/>
            </w:tcMar>
            <w:vAlign w:val="center"/>
          </w:tcPr>
          <w:p>
            <w:r>
              <w:rPr>
                <w:rFonts w:ascii="Calibri" w:hAnsi="Calibri" w:eastAsia="Calibri"/>
                <w:b w:val="0"/>
                <w:color w:val="241D28"/>
                <w:sz w:val="18"/>
              </w:rPr>
              <w:t>magic or an instruction that calls something closer</w:t>
            </w:r>
          </w:p>
        </w:tc>
        <w:tc>
          <w:tcPr>
            <w:tcW w:type="dxa" w:w="1200"/>
            <w:tcMar>
              <w:top w:w="80" w:type="dxa"/>
              <w:start w:w="120" w:type="dxa"/>
              <w:bottom w:w="80" w:type="dxa"/>
              <w:end w:w="120" w:type="dxa"/>
            </w:tcMar>
            <w:vAlign w:val="center"/>
          </w:tcPr>
          <w:p>
            <w:r>
              <w:rPr>
                <w:rFonts w:ascii="Calibri" w:hAnsi="Calibri" w:eastAsia="Calibri"/>
                <w:b w:val="0"/>
                <w:color w:val="241D28"/>
                <w:sz w:val="18"/>
              </w:rPr>
              <w:t>P22</w:t>
            </w:r>
          </w:p>
        </w:tc>
      </w:tr>
      <w:tr>
        <w:tc>
          <w:tcPr>
            <w:tcW w:type="dxa" w:w="1600"/>
            <w:tcMar>
              <w:top w:w="80" w:type="dxa"/>
              <w:start w:w="120" w:type="dxa"/>
              <w:bottom w:w="80" w:type="dxa"/>
              <w:end w:w="120" w:type="dxa"/>
            </w:tcMar>
            <w:vAlign w:val="center"/>
          </w:tcPr>
          <w:p>
            <w:r>
              <w:rPr>
                <w:rFonts w:ascii="Calibri" w:hAnsi="Calibri" w:eastAsia="Calibri"/>
                <w:b/>
                <w:color w:val="241D28"/>
                <w:sz w:val="18"/>
              </w:rPr>
              <w:t>unconvincingly</w:t>
            </w:r>
          </w:p>
        </w:tc>
        <w:tc>
          <w:tcPr>
            <w:tcW w:type="dxa" w:w="6838"/>
            <w:tcMar>
              <w:top w:w="80" w:type="dxa"/>
              <w:start w:w="120" w:type="dxa"/>
              <w:bottom w:w="80" w:type="dxa"/>
              <w:end w:w="120" w:type="dxa"/>
            </w:tcMar>
            <w:vAlign w:val="center"/>
          </w:tcPr>
          <w:p>
            <w:r>
              <w:rPr>
                <w:rFonts w:ascii="Calibri" w:hAnsi="Calibri" w:eastAsia="Calibri"/>
                <w:b w:val="0"/>
                <w:color w:val="241D28"/>
                <w:sz w:val="18"/>
              </w:rPr>
              <w:t>in a way that does not persuade others</w:t>
            </w:r>
          </w:p>
        </w:tc>
        <w:tc>
          <w:tcPr>
            <w:tcW w:type="dxa" w:w="1200"/>
            <w:tcMar>
              <w:top w:w="80" w:type="dxa"/>
              <w:start w:w="120" w:type="dxa"/>
              <w:bottom w:w="80" w:type="dxa"/>
              <w:end w:w="120" w:type="dxa"/>
            </w:tcMar>
            <w:vAlign w:val="center"/>
          </w:tcPr>
          <w:p>
            <w:r>
              <w:rPr>
                <w:rFonts w:ascii="Calibri" w:hAnsi="Calibri" w:eastAsia="Calibri"/>
                <w:b w:val="0"/>
                <w:color w:val="241D28"/>
                <w:sz w:val="18"/>
              </w:rPr>
              <w:t>P17</w:t>
            </w:r>
          </w:p>
        </w:tc>
      </w:tr>
      <w:tr>
        <w:tc>
          <w:tcPr>
            <w:tcW w:type="dxa" w:w="1600"/>
            <w:tcMar>
              <w:top w:w="80" w:type="dxa"/>
              <w:start w:w="120" w:type="dxa"/>
              <w:bottom w:w="80" w:type="dxa"/>
              <w:end w:w="120" w:type="dxa"/>
            </w:tcMar>
            <w:vAlign w:val="center"/>
          </w:tcPr>
          <w:p>
            <w:r>
              <w:rPr>
                <w:rFonts w:ascii="Calibri" w:hAnsi="Calibri" w:eastAsia="Calibri"/>
                <w:b/>
                <w:color w:val="241D28"/>
                <w:sz w:val="18"/>
              </w:rPr>
              <w:t>enthusiastic</w:t>
            </w:r>
          </w:p>
        </w:tc>
        <w:tc>
          <w:tcPr>
            <w:tcW w:type="dxa" w:w="6838"/>
            <w:tcMar>
              <w:top w:w="80" w:type="dxa"/>
              <w:start w:w="120" w:type="dxa"/>
              <w:bottom w:w="80" w:type="dxa"/>
              <w:end w:w="120" w:type="dxa"/>
            </w:tcMar>
            <w:vAlign w:val="center"/>
          </w:tcPr>
          <w:p>
            <w:r>
              <w:rPr>
                <w:rFonts w:ascii="Calibri" w:hAnsi="Calibri" w:eastAsia="Calibri"/>
                <w:b w:val="0"/>
                <w:color w:val="241D28"/>
                <w:sz w:val="18"/>
              </w:rPr>
              <w:t>showing eager interest or energy</w:t>
            </w:r>
          </w:p>
        </w:tc>
        <w:tc>
          <w:tcPr>
            <w:tcW w:type="dxa" w:w="1200"/>
            <w:tcMar>
              <w:top w:w="80" w:type="dxa"/>
              <w:start w:w="120" w:type="dxa"/>
              <w:bottom w:w="80" w:type="dxa"/>
              <w:end w:w="120" w:type="dxa"/>
            </w:tcMar>
            <w:vAlign w:val="center"/>
          </w:tcPr>
          <w:p>
            <w:r>
              <w:rPr>
                <w:rFonts w:ascii="Calibri" w:hAnsi="Calibri" w:eastAsia="Calibri"/>
                <w:b w:val="0"/>
                <w:color w:val="241D28"/>
                <w:sz w:val="18"/>
              </w:rPr>
              <w:t>P17</w:t>
            </w:r>
          </w:p>
        </w:tc>
      </w:tr>
    </w:tbl>
    <w:p>
      <w:pPr>
        <w:pStyle w:val="Heading2"/>
      </w:pPr>
      <w:r>
        <w:t>Questions with answer guidance</w:t>
      </w:r>
    </w:p>
    <w:p>
      <w:pPr>
        <w:pStyle w:val="Heading3"/>
      </w:pPr>
      <w:r>
        <w:t>Which details make the last wand appear unwanted? [P2-P10]</w:t>
      </w:r>
    </w:p>
    <w:p>
      <w:pPr>
        <w:keepLines/>
        <w:ind w:left="227"/>
      </w:pPr>
      <w:r>
        <w:t>It has no velvet lining, looks twig-like and glued, and is chipped, bent and marked by scorch or jam. Professor Tansy says it was meant for the archives.</w:t>
      </w:r>
    </w:p>
    <w:p>
      <w:pPr>
        <w:pStyle w:val="Heading3"/>
      </w:pPr>
      <w:r>
        <w:t>Why is 'Except for one' isolated? [P2-P4]</w:t>
      </w:r>
    </w:p>
    <w:p>
      <w:pPr>
        <w:keepLines/>
        <w:ind w:left="227"/>
      </w:pPr>
      <w:r>
        <w:t>The short paragraph slows the reading, sharpens the contrast with the beautiful wands and builds anticipation around the damaged one.</w:t>
      </w:r>
    </w:p>
    <w:p>
      <w:pPr>
        <w:pStyle w:val="Heading3"/>
      </w:pPr>
      <w:r>
        <w:t>Is Drusillda's claim that Eliza lacks 'proper magic' supported? [P15-P34]</w:t>
      </w:r>
    </w:p>
    <w:p>
      <w:pPr>
        <w:keepLines/>
        <w:ind w:left="227"/>
      </w:pPr>
      <w:r>
        <w:t>Not securely. Eliza does not achieve the intended results, but magic clearly happens: the sheep appears, the pebble floats and several objects or creatures are produced.</w:t>
      </w:r>
    </w:p>
    <w:p>
      <w:pPr>
        <w:pStyle w:val="Heading3"/>
      </w:pPr>
      <w:r>
        <w:t>Why does Professor Tansy call the sheep 'enthusiastic'? [P15-P18]</w:t>
      </w:r>
    </w:p>
    <w:p>
      <w:pPr>
        <w:keepLines/>
        <w:ind w:left="227"/>
      </w:pPr>
      <w:r>
        <w:t>It is restrained, kindly understatement. The calm word reframes the chaos and makes the moment funny without humiliating Eliza further.</w:t>
      </w:r>
    </w:p>
    <w:p>
      <w:pPr>
        <w:pStyle w:val="Heading3"/>
      </w:pPr>
      <w:r>
        <w:t>What two important corrections are made to the notice? [P37-P49]</w:t>
      </w:r>
    </w:p>
    <w:p>
      <w:pPr>
        <w:keepLines/>
        <w:ind w:left="227"/>
      </w:pPr>
      <w:r>
        <w:t>WIMKIN becomes the canonical spelling WHIMKIN. More importantly, the subject changes: pupils do not choose a creature; the Whimkin chooses the pupil.</w:t>
      </w:r>
    </w:p>
    <w:p>
      <w:pPr>
        <w:pStyle w:val="Heading3"/>
      </w:pPr>
      <w:r>
        <w:t>How does Eliza feel at the end, and what might happen next? [P49-P54]</w:t>
      </w:r>
    </w:p>
    <w:p>
      <w:pPr>
        <w:keepLines/>
        <w:ind w:left="227"/>
      </w:pPr>
      <w:r>
        <w:t>Nervous, hopeful and uncertain can all be supported. Accept any plausible prediction linked to the stomach flip, the idea that something might choose her and the repeated fear of 'or not'.</w:t>
      </w:r>
    </w:p>
    <w:p>
      <w:pPr>
        <w:pStyle w:val="Heading2"/>
      </w:pPr>
      <w:r>
        <w:t>Choose one response</w:t>
      </w:r>
    </w:p>
    <w:p>
      <w:pPr>
        <w:numPr>
          <w:ilvl w:val="0"/>
          <w:numId w:val="10"/>
        </w:numPr>
      </w:pPr>
      <w:r>
        <w:t>Wand-mishap sequence: intended spell, what happens and Eliza's response.</w:t>
      </w:r>
    </w:p>
    <w:p>
      <w:pPr>
        <w:numPr>
          <w:ilvl w:val="0"/>
          <w:numId w:val="10"/>
        </w:numPr>
      </w:pPr>
      <w:r>
        <w:t>Evidence judgement: Drusillda says... The evidence shows... Therefore...</w:t>
      </w:r>
    </w:p>
    <w:p>
      <w:pPr>
        <w:numPr>
          <w:ilvl w:val="0"/>
          <w:numId w:val="10"/>
        </w:numPr>
      </w:pPr>
      <w:r>
        <w:t>Notice edit: correct the spelling, the chooser and the audience-friendly wording.</w:t>
      </w:r>
    </w:p>
    <w:p>
      <w:pPr>
        <w:pStyle w:val="Heading2"/>
      </w:pPr>
      <w:r>
        <w:t>Support</w:t>
      </w:r>
    </w:p>
    <w:p>
      <w:pPr>
        <w:numPr>
          <w:ilvl w:val="0"/>
          <w:numId w:val="10"/>
        </w:numPr>
      </w:pPr>
      <w:r>
        <w:t>Chunk the chapter into Wand Room, Spell Practice and noticeboard.</w:t>
      </w:r>
    </w:p>
    <w:p>
      <w:pPr>
        <w:numPr>
          <w:ilvl w:val="0"/>
          <w:numId w:val="10"/>
        </w:numPr>
      </w:pPr>
      <w:r>
        <w:t>Pre-teach only the words needed for the chosen task, then rehearse an answer with a partner.</w:t>
      </w:r>
    </w:p>
    <w:p>
      <w:pPr>
        <w:numPr>
          <w:ilvl w:val="0"/>
          <w:numId w:val="10"/>
        </w:numPr>
      </w:pPr>
      <w:r>
        <w:t>Use event cards, a word bank or oral and scribed responses; reduce copying.</w:t>
      </w:r>
    </w:p>
    <w:p>
      <w:pPr>
        <w:numPr>
          <w:ilvl w:val="0"/>
          <w:numId w:val="10"/>
        </w:numPr>
      </w:pPr>
      <w:r>
        <w:t>Allow processing time and offer a forced choice before an open question where helpful.</w:t>
      </w:r>
    </w:p>
    <w:p>
      <w:pPr>
        <w:pStyle w:val="Heading2"/>
      </w:pPr>
      <w:r>
        <w:t>Deepen</w:t>
      </w:r>
    </w:p>
    <w:p>
      <w:pPr>
        <w:numPr>
          <w:ilvl w:val="0"/>
          <w:numId w:val="10"/>
        </w:numPr>
      </w:pPr>
      <w:r>
        <w:t>Analyse how understatement and short paragraphs control humour and pace.</w:t>
      </w:r>
    </w:p>
    <w:p>
      <w:pPr>
        <w:numPr>
          <w:ilvl w:val="0"/>
          <w:numId w:val="10"/>
        </w:numPr>
      </w:pPr>
      <w:r>
        <w:t>Compare failure to achieve the intended result with absence of magic.</w:t>
      </w:r>
    </w:p>
    <w:p>
      <w:pPr>
        <w:numPr>
          <w:ilvl w:val="0"/>
          <w:numId w:val="10"/>
        </w:numPr>
      </w:pPr>
      <w:r>
        <w:t>Explain how changing the grammatical subject of the notice changes agency.</w:t>
      </w:r>
    </w:p>
    <w:p>
      <w:pPr>
        <w:shd w:fill="F0E7D8"/>
        <w:pBdr>
          <w:left w:val="single" w:sz="16" w:space="8" w:color="A4783F"/>
        </w:pBdr>
        <w:spacing w:before="100" w:after="140"/>
        <w:ind w:left="227" w:right="170"/>
      </w:pPr>
      <w:r>
        <w:rPr>
          <w:b/>
        </w:rPr>
        <w:t xml:space="preserve">Exit check. </w:t>
      </w:r>
      <w:r>
        <w:t>Drusillda says... The evidence shows... Therefore I think...</w:t>
      </w:r>
    </w:p>
    <w:p>
      <w:r>
        <w:br w:type="page"/>
      </w:r>
    </w:p>
    <w:p>
      <w:pPr>
        <w:pStyle w:val="Kicker"/>
      </w:pPr>
      <w:r>
        <w:t>CHAPTER 2 | PUPIL PAGE</w:t>
      </w:r>
    </w:p>
    <w:p>
      <w:pPr>
        <w:pStyle w:val="Heading1"/>
      </w:pPr>
      <w:r>
        <w:t>Chapter 2: evidence, editing and prediction</w:t>
      </w:r>
    </w:p>
    <w:p>
      <w:r>
        <w:t>Use a detail from the chapter. You may write, draw, label or ask an adult to scribe.</w:t>
      </w:r>
    </w:p>
    <w:p>
      <w:pPr>
        <w:pStyle w:val="Smallprint"/>
      </w:pPr>
      <w:r>
        <w:t>Name: ______________________________________    Date: ____________________</w:t>
      </w:r>
    </w:p>
    <w:p>
      <w:pPr>
        <w:pStyle w:val="Pupilprompt"/>
        <w:numPr>
          <w:ilvl w:val="0"/>
          <w:numId w:val="17"/>
        </w:numPr>
      </w:pPr>
      <w:r>
        <w:t>The spell should... Instead... This shows...</w:t>
      </w:r>
    </w:p>
    <w:p>
      <w:pPr>
        <w:spacing w:before="60" w:after="60" w:line="240" w:lineRule="auto"/>
        <w:pBdr>
          <w:bottom w:val="single" w:sz="4" w:space="3" w:color="D7CCDA"/>
        </w:pBdr>
      </w:pPr>
    </w:p>
    <w:p>
      <w:pPr>
        <w:spacing w:before="60" w:after="60" w:line="240" w:lineRule="auto"/>
        <w:pBdr>
          <w:bottom w:val="single" w:sz="4" w:space="3" w:color="D7CCDA"/>
        </w:pBdr>
      </w:pPr>
    </w:p>
    <w:p>
      <w:pPr>
        <w:spacing w:before="60" w:after="60" w:line="240" w:lineRule="auto"/>
        <w:pBdr>
          <w:bottom w:val="single" w:sz="4" w:space="3" w:color="D7CCDA"/>
        </w:pBdr>
      </w:pPr>
    </w:p>
    <w:p>
      <w:pPr>
        <w:pStyle w:val="Pupilprompt"/>
        <w:numPr>
          <w:ilvl w:val="0"/>
          <w:numId w:val="17"/>
        </w:numPr>
      </w:pPr>
      <w:r>
        <w:t>Drusillda says... The evidence shows... Therefore...</w:t>
      </w:r>
    </w:p>
    <w:p>
      <w:pPr>
        <w:spacing w:before="60" w:after="60" w:line="240" w:lineRule="auto"/>
        <w:pBdr>
          <w:bottom w:val="single" w:sz="4" w:space="3" w:color="D7CCDA"/>
        </w:pBdr>
      </w:pPr>
    </w:p>
    <w:p>
      <w:pPr>
        <w:spacing w:before="60" w:after="60" w:line="240" w:lineRule="auto"/>
        <w:pBdr>
          <w:bottom w:val="single" w:sz="4" w:space="3" w:color="D7CCDA"/>
        </w:pBdr>
      </w:pPr>
    </w:p>
    <w:p>
      <w:pPr>
        <w:spacing w:before="60" w:after="60" w:line="240" w:lineRule="auto"/>
        <w:pBdr>
          <w:bottom w:val="single" w:sz="4" w:space="3" w:color="D7CCDA"/>
        </w:pBdr>
      </w:pPr>
    </w:p>
    <w:p>
      <w:pPr>
        <w:pStyle w:val="Pupilprompt"/>
        <w:numPr>
          <w:ilvl w:val="0"/>
          <w:numId w:val="17"/>
        </w:numPr>
      </w:pPr>
      <w:r>
        <w:t>Corrected notice: spelling, chooser and one clear instruction.</w:t>
      </w:r>
    </w:p>
    <w:p>
      <w:pPr>
        <w:spacing w:before="60" w:after="60" w:line="240" w:lineRule="auto"/>
        <w:pBdr>
          <w:bottom w:val="single" w:sz="4" w:space="3" w:color="D7CCDA"/>
        </w:pBdr>
      </w:pPr>
    </w:p>
    <w:p>
      <w:pPr>
        <w:spacing w:before="60" w:after="60" w:line="240" w:lineRule="auto"/>
        <w:pBdr>
          <w:bottom w:val="single" w:sz="4" w:space="3" w:color="D7CCDA"/>
        </w:pBdr>
      </w:pPr>
    </w:p>
    <w:p>
      <w:pPr>
        <w:spacing w:before="60" w:after="60" w:line="240" w:lineRule="auto"/>
        <w:pBdr>
          <w:bottom w:val="single" w:sz="4" w:space="3" w:color="D7CCDA"/>
        </w:pBdr>
      </w:pPr>
    </w:p>
    <w:p>
      <w:pPr>
        <w:pStyle w:val="Pupilprompt"/>
        <w:numPr>
          <w:ilvl w:val="0"/>
          <w:numId w:val="17"/>
        </w:numPr>
      </w:pPr>
      <w:r>
        <w:t>My prediction is... The clue I used is...</w:t>
      </w:r>
    </w:p>
    <w:p>
      <w:pPr>
        <w:spacing w:before="60" w:after="60" w:line="240" w:lineRule="auto"/>
        <w:pBdr>
          <w:bottom w:val="single" w:sz="4" w:space="3" w:color="D7CCDA"/>
        </w:pBdr>
      </w:pPr>
    </w:p>
    <w:p>
      <w:pPr>
        <w:spacing w:before="60" w:after="60" w:line="240" w:lineRule="auto"/>
        <w:pBdr>
          <w:bottom w:val="single" w:sz="4" w:space="3" w:color="D7CCDA"/>
        </w:pBdr>
      </w:pPr>
    </w:p>
    <w:p>
      <w:pPr>
        <w:spacing w:before="60" w:after="60" w:line="240" w:lineRule="auto"/>
        <w:pBdr>
          <w:bottom w:val="single" w:sz="4" w:space="3" w:color="D7CCDA"/>
        </w:pBdr>
      </w:pPr>
    </w:p>
    <w:p>
      <w:r>
        <w:br w:type="page"/>
      </w:r>
    </w:p>
    <w:p>
      <w:pPr>
        <w:pStyle w:val="Kicker"/>
      </w:pPr>
      <w:r>
        <w:t>TEACHING NOTES | ENGLAND</w:t>
      </w:r>
    </w:p>
    <w:p>
      <w:pPr>
        <w:pStyle w:val="Heading1"/>
      </w:pPr>
      <w:r>
        <w:t>Curriculum, inclusion and assessment</w:t>
      </w:r>
    </w:p>
    <w:p>
      <w:pPr>
        <w:pStyle w:val="Heading2"/>
      </w:pPr>
      <w:r>
        <w:t>Years 3 and 4</w:t>
      </w:r>
    </w:p>
    <w:p>
      <w:pPr>
        <w:numPr>
          <w:ilvl w:val="0"/>
          <w:numId w:val="10"/>
        </w:numPr>
      </w:pPr>
      <w:r>
        <w:t>Discuss words and phrases that capture interest and imagination.</w:t>
      </w:r>
    </w:p>
    <w:p>
      <w:pPr>
        <w:numPr>
          <w:ilvl w:val="0"/>
          <w:numId w:val="10"/>
        </w:numPr>
      </w:pPr>
      <w:r>
        <w:t>Draw inferences such as characters' feelings, thoughts and motives, then justify them with evidence.</w:t>
      </w:r>
    </w:p>
    <w:p>
      <w:pPr>
        <w:numPr>
          <w:ilvl w:val="0"/>
          <w:numId w:val="10"/>
        </w:numPr>
      </w:pPr>
      <w:r>
        <w:t>Predict what might happen from details stated and implied.</w:t>
      </w:r>
    </w:p>
    <w:p>
      <w:pPr>
        <w:numPr>
          <w:ilvl w:val="0"/>
          <w:numId w:val="10"/>
        </w:numPr>
      </w:pPr>
      <w:r>
        <w:t>Discuss and record ideas, rehearse sentences orally and write for a clear purpose.</w:t>
      </w:r>
    </w:p>
    <w:p>
      <w:pPr>
        <w:pStyle w:val="Heading2"/>
      </w:pPr>
      <w:r>
        <w:t>Years 5 and 6</w:t>
      </w:r>
    </w:p>
    <w:p>
      <w:pPr>
        <w:numPr>
          <w:ilvl w:val="0"/>
          <w:numId w:val="10"/>
        </w:numPr>
      </w:pPr>
      <w:r>
        <w:t>Identify how language, structure and presentation contribute to meaning.</w:t>
      </w:r>
    </w:p>
    <w:p>
      <w:pPr>
        <w:numPr>
          <w:ilvl w:val="0"/>
          <w:numId w:val="10"/>
        </w:numPr>
      </w:pPr>
      <w:r>
        <w:t>Discuss and evaluate language, including its effect on the reader.</w:t>
      </w:r>
    </w:p>
    <w:p>
      <w:pPr>
        <w:numPr>
          <w:ilvl w:val="0"/>
          <w:numId w:val="10"/>
        </w:numPr>
      </w:pPr>
      <w:r>
        <w:t>Explain and discuss understanding through reasoned answers that use evidence.</w:t>
      </w:r>
    </w:p>
    <w:p>
      <w:pPr>
        <w:numPr>
          <w:ilvl w:val="0"/>
          <w:numId w:val="10"/>
        </w:numPr>
      </w:pPr>
      <w:r>
        <w:t>Select vocabulary and formality for audience and purpose, then evaluate and edit.</w:t>
      </w:r>
    </w:p>
    <w:p>
      <w:pPr>
        <w:pStyle w:val="Heading2"/>
      </w:pPr>
      <w:r>
        <w:t>Build access into the lesson</w:t>
      </w:r>
    </w:p>
    <w:p>
      <w:r>
        <w:rPr>
          <w:rFonts w:ascii="Calibri" w:hAnsi="Calibri" w:eastAsia="Calibri"/>
          <w:b/>
          <w:color w:val="4D2D65"/>
        </w:rPr>
        <w:t xml:space="preserve">Read aloud without lowering the thinking. </w:t>
      </w:r>
      <w:r>
        <w:t>A fluent adult reading can give younger or less fluent readers access to vocabulary, inference and discussion beyond independent decoding.</w:t>
      </w:r>
    </w:p>
    <w:p>
      <w:r>
        <w:rPr>
          <w:rFonts w:ascii="Calibri" w:hAnsi="Calibri" w:eastAsia="Calibri"/>
          <w:b/>
          <w:color w:val="4D2D65"/>
        </w:rPr>
        <w:t xml:space="preserve">Make thinking visible. </w:t>
      </w:r>
      <w:r>
        <w:t>Use one worked model, oral rehearsal, short stems and a word bank, then fade support when it is no longer needed.</w:t>
      </w:r>
    </w:p>
    <w:p>
      <w:r>
        <w:rPr>
          <w:rFonts w:ascii="Calibri" w:hAnsi="Calibri" w:eastAsia="Calibri"/>
          <w:b/>
          <w:color w:val="4D2D65"/>
        </w:rPr>
        <w:t xml:space="preserve">Offer valid ways to respond. </w:t>
      </w:r>
      <w:r>
        <w:t>Speech, drawing, sequencing, annotation and scribing can show understanding before extended writing is added.</w:t>
      </w:r>
    </w:p>
    <w:p>
      <w:r>
        <w:rPr>
          <w:rFonts w:ascii="Calibri" w:hAnsi="Calibri" w:eastAsia="Calibri"/>
          <w:b/>
          <w:color w:val="4D2D65"/>
        </w:rPr>
        <w:t xml:space="preserve">Keep discussion safely inside the story. </w:t>
      </w:r>
      <w:r>
        <w:t>Do not ask pupils to disclose personal experiences. Allow a pass and follow the school's safeguarding policy if a concern is shared.</w:t>
      </w:r>
    </w:p>
    <w:p>
      <w:pPr>
        <w:pStyle w:val="Heading2"/>
      </w:pPr>
      <w:r>
        <w:t>A quick assessment is enough</w:t>
      </w:r>
    </w:p>
    <w:p>
      <w:pPr>
        <w:numPr>
          <w:ilvl w:val="0"/>
          <w:numId w:val="10"/>
        </w:numPr>
      </w:pPr>
      <w:r>
        <w:t>Retrieves an accurate detail.</w:t>
      </w:r>
    </w:p>
    <w:p>
      <w:pPr>
        <w:numPr>
          <w:ilvl w:val="0"/>
          <w:numId w:val="10"/>
        </w:numPr>
      </w:pPr>
      <w:r>
        <w:t>Makes an inference and explains how the evidence supports it.</w:t>
      </w:r>
    </w:p>
    <w:p>
      <w:pPr>
        <w:numPr>
          <w:ilvl w:val="0"/>
          <w:numId w:val="10"/>
        </w:numPr>
      </w:pPr>
      <w:r>
        <w:t>Uses uncertainty language for a prediction rather than treating a guess as fact.</w:t>
      </w:r>
    </w:p>
    <w:p>
      <w:pPr>
        <w:numPr>
          <w:ilvl w:val="0"/>
          <w:numId w:val="10"/>
        </w:numPr>
      </w:pPr>
      <w:r>
        <w:t>Edits or writes for the stated purpose and audience.</w:t>
      </w:r>
    </w:p>
    <w:p>
      <w:pPr>
        <w:numPr>
          <w:ilvl w:val="0"/>
          <w:numId w:val="10"/>
        </w:numPr>
      </w:pPr>
      <w:r>
        <w:t>Secure: does this independently and explains the link.</w:t>
      </w:r>
    </w:p>
    <w:p>
      <w:pPr>
        <w:numPr>
          <w:ilvl w:val="0"/>
          <w:numId w:val="10"/>
        </w:numPr>
      </w:pPr>
      <w:r>
        <w:t>Developing: does this with a prompt, stem or model.</w:t>
      </w:r>
    </w:p>
    <w:p>
      <w:pPr>
        <w:numPr>
          <w:ilvl w:val="0"/>
          <w:numId w:val="10"/>
        </w:numPr>
      </w:pPr>
      <w:r>
        <w:t>Not yet evidenced: choose a shorter oral or visual check next time.</w:t>
      </w:r>
    </w:p>
    <w:p>
      <w:r>
        <w:t>One exit sentence or an oral check is enough. The pack does not require lengthy written marking.</w:t>
      </w:r>
    </w:p>
    <w:p>
      <w:r>
        <w:br w:type="page"/>
      </w:r>
    </w:p>
    <w:p>
      <w:pPr>
        <w:pStyle w:val="Kicker"/>
      </w:pPr>
      <w:r>
        <w:t>THE STAFF ROOM | REWARD CODES</w:t>
      </w:r>
    </w:p>
    <w:p>
      <w:pPr>
        <w:pStyle w:val="Heading1"/>
      </w:pPr>
      <w:r>
        <w:t>Three codes. Three teacher-exclusive cards. Then the library opens.</w:t>
      </w:r>
    </w:p>
    <w:p>
      <w:r>
        <w:t>Create reward codes in The Staff Room and give one to a star pupil, reading group or whole class when you choose. A pupil redeems a code in The Witches' Cavern. No class list is uploaded and no purchase is required.</w:t>
      </w:r>
    </w:p>
    <w:p>
      <w:pPr>
        <w:pStyle w:val="Heading2"/>
      </w:pPr>
      <w:r>
        <w:t>What pupils receive</w:t>
      </w:r>
    </w:p>
    <w:p>
      <w:pPr>
        <w:numPr>
          <w:ilvl w:val="0"/>
          <w:numId w:val="18"/>
        </w:numPr>
      </w:pPr>
      <w:r>
        <w:t>Codes 1-3: the pupil receives one new teacher-exclusive limited-edition Whimkin card per valid unique code. There are three in total and no duplicates in this stage.</w:t>
      </w:r>
    </w:p>
    <w:p>
      <w:pPr>
        <w:numPr>
          <w:ilvl w:val="0"/>
          <w:numId w:val="18"/>
        </w:numPr>
      </w:pPr>
      <w:r>
        <w:t>Code 4 onwards: each valid unique code awards one random standard Whimkin card from released books available in the issuing teacher's and pupil's libraries.</w:t>
      </w:r>
    </w:p>
    <w:p>
      <w:pPr>
        <w:numPr>
          <w:ilvl w:val="0"/>
          <w:numId w:val="18"/>
        </w:numPr>
      </w:pPr>
      <w:r>
        <w:t>Later random rewards avoid repeats while an eligible unseen card remains. When every eligible card has been collected, a repeat may be awarded.</w:t>
      </w:r>
    </w:p>
    <w:p>
      <w:pPr>
        <w:pStyle w:val="Heading2"/>
      </w:pPr>
      <w:r>
        <w:t>What the teacher does</w:t>
      </w:r>
    </w:p>
    <w:p>
      <w:pPr>
        <w:numPr>
          <w:ilvl w:val="0"/>
          <w:numId w:val="19"/>
        </w:numPr>
      </w:pPr>
      <w:r>
        <w:t>Create or choose a class space, then make a text code in The Staff Room.</w:t>
      </w:r>
    </w:p>
    <w:p>
      <w:pPr>
        <w:numPr>
          <w:ilvl w:val="0"/>
          <w:numId w:val="19"/>
        </w:numPr>
      </w:pPr>
      <w:r>
        <w:t>Print or copy the code and share it under the school's own reward policy.</w:t>
      </w:r>
    </w:p>
    <w:p>
      <w:pPr>
        <w:numPr>
          <w:ilvl w:val="0"/>
          <w:numId w:val="19"/>
        </w:numPr>
      </w:pPr>
      <w:r>
        <w:t>Pause or replace a code at any time. Staff see aggregate redemption totals, not pupil identities or collections.</w:t>
      </w:r>
    </w:p>
    <w:p>
      <w:pPr>
        <w:pStyle w:val="Heading2"/>
      </w:pPr>
      <w:r>
        <w:t>Keep it fair and private</w:t>
      </w:r>
    </w:p>
    <w:p>
      <w:pPr>
        <w:numPr>
          <w:ilvl w:val="0"/>
          <w:numId w:val="10"/>
        </w:numPr>
      </w:pPr>
      <w:r>
        <w:t>Optional reward; never link it to purchase pressure, a countdown, a streak or a public leaderboard.</w:t>
      </w:r>
    </w:p>
    <w:p>
      <w:pPr>
        <w:numPr>
          <w:ilvl w:val="0"/>
          <w:numId w:val="10"/>
        </w:numPr>
      </w:pPr>
      <w:r>
        <w:t>Do not put pupil names, initials, year groups or school details inside the code.</w:t>
      </w:r>
    </w:p>
    <w:p>
      <w:pPr>
        <w:numPr>
          <w:ilvl w:val="0"/>
          <w:numId w:val="10"/>
        </w:numPr>
      </w:pPr>
      <w:r>
        <w:t>Use class labels rather than pupil names and follow the school's safeguarding and behaviour policies.</w:t>
      </w:r>
    </w:p>
    <w:p>
      <w:pPr>
        <w:numPr>
          <w:ilvl w:val="0"/>
          <w:numId w:val="10"/>
        </w:numPr>
      </w:pPr>
      <w:r>
        <w:t>A parent-held family account is required for a child collection; children do not provide an email address.</w:t>
      </w:r>
    </w:p>
    <w:p>
      <w:r>
        <w:br w:type="page"/>
      </w:r>
    </w:p>
    <w:p>
      <w:pPr>
        <w:pStyle w:val="Kicker"/>
      </w:pPr>
      <w:r>
        <w:t>SCHOOL CHECK | ONE-PAGE SUMMARY</w:t>
      </w:r>
    </w:p>
    <w:p>
      <w:pPr>
        <w:pStyle w:val="Heading1"/>
      </w:pPr>
      <w:r>
        <w:t>School check at a glance</w:t>
      </w:r>
    </w:p>
    <w:p>
      <w:pPr>
        <w:numPr>
          <w:ilvl w:val="0"/>
          <w:numId w:val="10"/>
        </w:numPr>
      </w:pPr>
      <w:r>
        <w:t>The Staff Room stores teacher account details, class labels, selected book numbers and aggregate code totals. It does not ask staff to upload pupil rosters, pupil contact details, attainment, SEND or behaviour records.</w:t>
      </w:r>
    </w:p>
    <w:p>
      <w:pPr>
        <w:numPr>
          <w:ilvl w:val="0"/>
          <w:numId w:val="10"/>
        </w:numPr>
      </w:pPr>
      <w:r>
        <w:t>Automatic teacher codes are random tokens. Custom codes do not need to contain school, teacher or pupil information.</w:t>
      </w:r>
    </w:p>
    <w:p>
      <w:pPr>
        <w:numPr>
          <w:ilvl w:val="0"/>
          <w:numId w:val="10"/>
        </w:numPr>
      </w:pPr>
      <w:r>
        <w:t>Teachers cannot see a child's identity, family account or collection through the Staff Room.</w:t>
      </w:r>
    </w:p>
    <w:p>
      <w:pPr>
        <w:numPr>
          <w:ilvl w:val="0"/>
          <w:numId w:val="10"/>
        </w:numPr>
      </w:pPr>
      <w:r>
        <w:t>The child area uses parent-held accounts, high-privacy defaults and no child-to-child messaging, public profiles, streaks or public leaderboards.</w:t>
      </w:r>
    </w:p>
    <w:p>
      <w:pPr>
        <w:numPr>
          <w:ilvl w:val="0"/>
          <w:numId w:val="10"/>
        </w:numPr>
      </w:pPr>
      <w:r>
        <w:t>Schools should still complete their own supplier, data-protection, accessibility and safeguarding checks. This summary is not a completed DPIA or legal advice.</w:t>
      </w:r>
    </w:p>
    <w:p>
      <w:pPr>
        <w:pStyle w:val="Heading2"/>
      </w:pPr>
      <w:r>
        <w:t>Four people, four quick checks</w:t>
      </w:r>
    </w:p>
    <w:p>
      <w:pPr>
        <w:numPr>
          <w:ilvl w:val="0"/>
          <w:numId w:val="20"/>
        </w:numPr>
      </w:pPr>
      <w:r>
        <w:t>Curriculum lead: confirm age, text and lesson fit.</w:t>
      </w:r>
    </w:p>
    <w:p>
      <w:pPr>
        <w:numPr>
          <w:ilvl w:val="0"/>
          <w:numId w:val="20"/>
        </w:numPr>
      </w:pPr>
      <w:r>
        <w:t>DSL: confirm reward and device use under the school's current safeguarding policy.</w:t>
      </w:r>
    </w:p>
    <w:p>
      <w:pPr>
        <w:numPr>
          <w:ilvl w:val="0"/>
          <w:numId w:val="20"/>
        </w:numPr>
      </w:pPr>
      <w:r>
        <w:t>DPO or data lead: review the privacy notice, retention and supplier position before adoption.</w:t>
      </w:r>
    </w:p>
    <w:p>
      <w:pPr>
        <w:numPr>
          <w:ilvl w:val="0"/>
          <w:numId w:val="20"/>
        </w:numPr>
      </w:pPr>
      <w:r>
        <w:t>SENDCo or accessibility lead: choose print, read-aloud and response adjustments for the class.</w:t>
      </w:r>
    </w:p>
    <w:p>
      <w:r>
        <w:br w:type="page"/>
      </w:r>
    </w:p>
    <w:p>
      <w:pPr>
        <w:pStyle w:val="Kicker"/>
      </w:pPr>
      <w:r>
        <w:t>SOURCE LINKS | CHECKED 7 AUGUST 2026</w:t>
      </w:r>
    </w:p>
    <w:p>
      <w:pPr>
        <w:pStyle w:val="Heading1"/>
      </w:pPr>
      <w:r>
        <w:t>What this pack is based on</w:t>
      </w:r>
    </w:p>
    <w:p>
      <w:r>
        <w:t>These links let a curriculum lead, DSL or data lead check the original guidance. They support the pack; they do not amount to DfE, Ofsted or EEF approval.</w:t>
      </w:r>
    </w:p>
    <w:p>
      <w:pPr>
        <w:pStyle w:val="Smallprint"/>
        <w:shd w:fill="F0E7D8"/>
        <w:pBdr>
          <w:left w:val="single" w:sz="16" w:space="8" w:color="A4783F"/>
        </w:pBdr>
        <w:spacing w:before="100" w:after="140"/>
        <w:ind w:left="227" w:right="170"/>
      </w:pPr>
      <w:r>
        <w:t>These independent curriculum links show how the activities can support teaching in England. This resource is not approved or endorsed by DfE, Ofsted or EEF. Schools in Wales, Scotland and Northern Ireland should map activities to their own curricula.</w:t>
      </w:r>
    </w:p>
    <w:p>
      <w:pPr>
        <w:pStyle w:val="Smallprint"/>
      </w:pPr>
      <w:r>
        <w:rPr>
          <w:rFonts w:ascii="Calibri" w:hAnsi="Calibri" w:eastAsia="Calibri"/>
          <w:b/>
          <w:color w:val="4D2D65"/>
        </w:rPr>
        <w:t xml:space="preserve">English programmes of study - </w:t>
      </w:r>
      <w:r>
        <w:t xml:space="preserve">Department for Education (Statutory for maintained schools in England). </w:t>
      </w:r>
      <w:hyperlink r:id="rId11">
        <w:r>
          <w:rPr>
            <w:color w:val="335E52"/>
            <w:u w:val="single"/>
            <w:lang w:val="en-GB"/>
          </w:rPr>
          <w:t>Open source</w:t>
        </w:r>
      </w:hyperlink>
    </w:p>
    <w:p>
      <w:pPr>
        <w:pStyle w:val="Smallprint"/>
      </w:pPr>
      <w:r>
        <w:rPr>
          <w:rFonts w:ascii="Calibri" w:hAnsi="Calibri" w:eastAsia="Calibri"/>
          <w:b/>
          <w:color w:val="4D2D65"/>
        </w:rPr>
        <w:t xml:space="preserve">The Reading Framework - </w:t>
      </w:r>
      <w:r>
        <w:t xml:space="preserve">Department for Education (Non-statutory guidance). </w:t>
      </w:r>
      <w:hyperlink r:id="rId12">
        <w:r>
          <w:rPr>
            <w:color w:val="335E52"/>
            <w:u w:val="single"/>
            <w:lang w:val="en-GB"/>
          </w:rPr>
          <w:t>Open source</w:t>
        </w:r>
      </w:hyperlink>
    </w:p>
    <w:p>
      <w:pPr>
        <w:pStyle w:val="Smallprint"/>
      </w:pPr>
      <w:r>
        <w:rPr>
          <w:rFonts w:ascii="Calibri" w:hAnsi="Calibri" w:eastAsia="Calibri"/>
          <w:b/>
          <w:color w:val="4D2D65"/>
        </w:rPr>
        <w:t xml:space="preserve">Improving Literacy in Key Stage 2 - </w:t>
      </w:r>
      <w:r>
        <w:t xml:space="preserve">Education Endowment Foundation (Evidence-informed guidance). </w:t>
      </w:r>
      <w:hyperlink r:id="rId13">
        <w:r>
          <w:rPr>
            <w:color w:val="335E52"/>
            <w:u w:val="single"/>
            <w:lang w:val="en-GB"/>
          </w:rPr>
          <w:t>Open source</w:t>
        </w:r>
      </w:hyperlink>
    </w:p>
    <w:p>
      <w:pPr>
        <w:pStyle w:val="Smallprint"/>
      </w:pPr>
      <w:r>
        <w:rPr>
          <w:rFonts w:ascii="Calibri" w:hAnsi="Calibri" w:eastAsia="Calibri"/>
          <w:b/>
          <w:color w:val="4D2D65"/>
        </w:rPr>
        <w:t xml:space="preserve">Keeping Children Safe in Education - </w:t>
      </w:r>
      <w:r>
        <w:t xml:space="preserve">Department for Education (Living statutory-guidance landing page). </w:t>
      </w:r>
      <w:hyperlink r:id="rId14">
        <w:r>
          <w:rPr>
            <w:color w:val="335E52"/>
            <w:u w:val="single"/>
            <w:lang w:val="en-GB"/>
          </w:rPr>
          <w:t>Open source</w:t>
        </w:r>
      </w:hyperlink>
    </w:p>
    <w:p>
      <w:pPr>
        <w:pStyle w:val="Smallprint"/>
      </w:pPr>
      <w:r>
        <w:rPr>
          <w:rFonts w:ascii="Calibri" w:hAnsi="Calibri" w:eastAsia="Calibri"/>
          <w:b/>
          <w:color w:val="4D2D65"/>
        </w:rPr>
        <w:t xml:space="preserve">SEND code of practice: 0 to 25 years - </w:t>
      </w:r>
      <w:r>
        <w:t xml:space="preserve">Department for Education and Department of Health (Statutory guidance for named education bodies). </w:t>
      </w:r>
      <w:hyperlink r:id="rId15">
        <w:r>
          <w:rPr>
            <w:color w:val="335E52"/>
            <w:u w:val="single"/>
            <w:lang w:val="en-GB"/>
          </w:rPr>
          <w:t>Open source</w:t>
        </w:r>
      </w:hyperlink>
    </w:p>
    <w:p>
      <w:pPr>
        <w:pStyle w:val="Smallprint"/>
      </w:pPr>
      <w:r>
        <w:rPr>
          <w:rFonts w:ascii="Calibri" w:hAnsi="Calibri" w:eastAsia="Calibri"/>
          <w:b/>
          <w:color w:val="4D2D65"/>
        </w:rPr>
        <w:t xml:space="preserve">Procuring educational technology: data protection - </w:t>
      </w:r>
      <w:r>
        <w:t xml:space="preserve">Department for Education (School data-protection guidance). </w:t>
      </w:r>
      <w:hyperlink r:id="rId16">
        <w:r>
          <w:rPr>
            <w:color w:val="335E52"/>
            <w:u w:val="single"/>
            <w:lang w:val="en-GB"/>
          </w:rPr>
          <w:t>Open source</w:t>
        </w:r>
      </w:hyperlink>
    </w:p>
    <w:p>
      <w:pPr>
        <w:pStyle w:val="Smallprint"/>
      </w:pPr>
      <w:r>
        <w:rPr>
          <w:rFonts w:ascii="Calibri" w:hAnsi="Calibri" w:eastAsia="Calibri"/>
          <w:b/>
          <w:color w:val="4D2D65"/>
        </w:rPr>
        <w:t xml:space="preserve">Children's Code - </w:t>
      </w:r>
      <w:r>
        <w:t xml:space="preserve">Information Commissioner's Office (Statutory code of practice). </w:t>
      </w:r>
      <w:hyperlink r:id="rId17">
        <w:r>
          <w:rPr>
            <w:color w:val="335E52"/>
            <w:u w:val="single"/>
            <w:lang w:val="en-GB"/>
          </w:rPr>
          <w:t>Open source</w:t>
        </w:r>
      </w:hyperlink>
    </w:p>
    <w:p>
      <w:pPr>
        <w:pStyle w:val="Smallprint"/>
      </w:pPr>
      <w:r>
        <w:rPr>
          <w:rFonts w:ascii="Calibri" w:hAnsi="Calibri" w:eastAsia="Calibri"/>
          <w:b/>
          <w:color w:val="4D2D65"/>
        </w:rPr>
        <w:t xml:space="preserve">CAP Code: Children - </w:t>
      </w:r>
      <w:r>
        <w:t xml:space="preserve">Advertising Standards Authority (Rules for non-broadcast child-directed marketing). </w:t>
      </w:r>
      <w:hyperlink r:id="rId18">
        <w:r>
          <w:rPr>
            <w:color w:val="335E52"/>
            <w:u w:val="single"/>
            <w:lang w:val="en-GB"/>
          </w:rPr>
          <w:t>Open source</w:t>
        </w:r>
      </w:hyperlink>
    </w:p>
    <w:p>
      <w:pPr>
        <w:pStyle w:val="Heading2"/>
      </w:pPr>
      <w:r>
        <w:t>Resource record</w:t>
      </w:r>
    </w:p>
    <w:p>
      <w:pPr>
        <w:pStyle w:val="Smallprint"/>
      </w:pPr>
      <w:r>
        <w:t>Chapter 1: 68 paragraphs; source SHA-256 e3b6ce3f42865dcd47b10663a368beec01360589ffb4819cba236ca89b797866.</w:t>
      </w:r>
    </w:p>
    <w:p>
      <w:pPr>
        <w:pStyle w:val="Smallprint"/>
      </w:pPr>
      <w:r>
        <w:t>Chapter 2: 54 paragraphs; source SHA-256 525c12225375258c549360031befd1b21620d67f036953c0dfe1ac35dd2ccf88.</w:t>
      </w:r>
    </w:p>
    <w:p>
      <w:pPr>
        <w:pStyle w:val="Smallprint"/>
      </w:pPr>
      <w:r>
        <w:t>Pack 2026.08.07-r1 | Updated 7 August 2026 | UK English | Editable classroom edition.</w:t>
      </w:r>
    </w:p>
    <w:sectPr w:rsidR="00FC693F" w:rsidRPr="0006063C" w:rsidSect="00034616">
      <w:headerReference w:type="default" r:id="rId9"/>
      <w:footerReference w:type="default" r:id="rId10"/>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eastAsia="Calibri"/>
        <w:color w:val="645B67"/>
        <w:sz w:val="17"/>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libri" w:hAnsi="Calibri" w:eastAsia="Calibri"/>
        <w:b/>
        <w:color w:val="645B67"/>
        <w:sz w:val="16"/>
      </w:rPr>
      <w:t>BOOK ONE TEACHER PACK | UK CLASSROOM EDITION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bullet"/>
      <w:lvlText w:val="•"/>
      <w:lvlJc w:val="left"/>
      <w:pPr>
        <w:tabs>
          <w:tab w:val="num" w:pos="540"/>
        </w:tabs>
        <w:ind w:left="540" w:hanging="271"/>
        <w:spacing w:after="80" w:line="300" w:lineRule="auto"/>
      </w:pPr>
      <w:rPr>
        <w:rFonts w:ascii="Calibri" w:hAnsi="Calibri"/>
      </w:rPr>
    </w:lvl>
  </w:abstractNum>
  <w:num w:numId="10">
    <w:abstractNumId w:val="9"/>
  </w:num>
  <w:abstractNum w:abstractNumId="10">
    <w:multiLevelType w:val="singleLevel"/>
    <w:lvl w:ilvl="0">
      <w:start w:val="1"/>
      <w:numFmt w:val="decimal"/>
      <w:lvlText w:val="%1."/>
      <w:lvlJc w:val="left"/>
      <w:pPr>
        <w:tabs>
          <w:tab w:val="num" w:pos="540"/>
        </w:tabs>
        <w:ind w:left="540" w:hanging="271"/>
        <w:spacing w:after="80" w:line="300" w:lineRule="auto"/>
      </w:pPr>
      <w:rPr>
        <w:rFonts w:ascii="Calibri" w:hAnsi="Calibri"/>
      </w:rPr>
    </w:lvl>
  </w:abstractNum>
  <w:num w:numId="11">
    <w:abstractNumId w:val="10"/>
  </w:num>
  <w:num w:numId="12">
    <w:abstractNumId w:val="10"/>
    <w:lvlOverride w:ilvl="0">
      <w:startOverride w:val="1"/>
    </w:lvlOverride>
  </w:num>
  <w:num w:numId="13">
    <w:abstractNumId w:val="10"/>
    <w:lvlOverride w:ilvl="0">
      <w:startOverride w:val="1"/>
    </w:lvlOverride>
  </w:num>
  <w:num w:numId="14">
    <w:abstractNumId w:val="10"/>
    <w:lvlOverride w:ilvl="0">
      <w:startOverride w:val="1"/>
    </w:lvlOverride>
  </w:num>
  <w:num w:numId="15">
    <w:abstractNumId w:val="10"/>
    <w:lvlOverride w:ilvl="0">
      <w:startOverride w:val="1"/>
    </w:lvlOverride>
  </w:num>
  <w:num w:numId="16">
    <w:abstractNumId w:val="10"/>
    <w:lvlOverride w:ilvl="0">
      <w:startOverride w:val="1"/>
    </w:lvlOverride>
  </w:num>
  <w:num w:numId="17">
    <w:abstractNumId w:val="10"/>
    <w:lvlOverride w:ilvl="0">
      <w:startOverride w:val="1"/>
    </w:lvlOverride>
  </w:num>
  <w:num w:numId="18">
    <w:abstractNumId w:val="10"/>
    <w:lvlOverride w:ilvl="0">
      <w:startOverride w:val="1"/>
    </w:lvlOverride>
  </w:num>
  <w:num w:numId="19">
    <w:abstractNumId w:val="10"/>
    <w:lvlOverride w:ilvl="0">
      <w:startOverride w:val="1"/>
    </w:lvlOverride>
  </w:num>
  <w:num w:numId="20">
    <w:abstractNumId w:val="1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300" w:lineRule="auto"/>
    </w:pPr>
    <w:rPr>
      <w:rFonts w:ascii="Calibri" w:hAnsi="Calibri" w:eastAsia="Calibri"/>
      <w:b w:val="0"/>
      <w:color w:val="241D28"/>
      <w:sz w:val="22"/>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line="240" w:lineRule="auto"/>
      <w:outlineLvl w:val="0"/>
    </w:pPr>
    <w:rPr>
      <w:rFonts w:asciiTheme="majorHAnsi" w:eastAsiaTheme="majorEastAsia" w:hAnsiTheme="majorHAnsi" w:cstheme="majorBidi" w:ascii="Calibri" w:hAnsi="Calibri" w:eastAsia="Calibri"/>
      <w:b/>
      <w:bCs/>
      <w:color w:val="4D2D65"/>
      <w:sz w:val="32"/>
      <w:szCs w:val="28"/>
      <w:lang w:val="en-GB"/>
    </w:rPr>
  </w:style>
  <w:style w:type="paragraph" w:styleId="Heading2">
    <w:name w:val="heading 2"/>
    <w:basedOn w:val="Normal"/>
    <w:next w:val="Normal"/>
    <w:link w:val="Heading2Char"/>
    <w:uiPriority w:val="9"/>
    <w:unhideWhenUsed/>
    <w:qFormat/>
    <w:rsid w:val="00FC693F"/>
    <w:pPr>
      <w:keepNext/>
      <w:keepLines/>
      <w:spacing w:before="280" w:after="140" w:line="240" w:lineRule="auto"/>
      <w:outlineLvl w:val="1"/>
    </w:pPr>
    <w:rPr>
      <w:rFonts w:asciiTheme="majorHAnsi" w:eastAsiaTheme="majorEastAsia" w:hAnsiTheme="majorHAnsi" w:cstheme="majorBidi" w:ascii="Calibri" w:hAnsi="Calibri" w:eastAsia="Calibri"/>
      <w:b/>
      <w:bCs/>
      <w:color w:val="4D2D65"/>
      <w:sz w:val="26"/>
      <w:szCs w:val="26"/>
      <w:lang w:val="en-GB"/>
    </w:rPr>
  </w:style>
  <w:style w:type="paragraph" w:styleId="Heading3">
    <w:name w:val="heading 3"/>
    <w:basedOn w:val="Normal"/>
    <w:next w:val="Normal"/>
    <w:link w:val="Heading3Char"/>
    <w:uiPriority w:val="9"/>
    <w:unhideWhenUsed/>
    <w:qFormat/>
    <w:rsid w:val="00FC693F"/>
    <w:pPr>
      <w:keepNext/>
      <w:keepLines/>
      <w:spacing w:before="200" w:after="100" w:line="240" w:lineRule="auto"/>
      <w:outlineLvl w:val="2"/>
    </w:pPr>
    <w:rPr>
      <w:rFonts w:asciiTheme="majorHAnsi" w:eastAsiaTheme="majorEastAsia" w:hAnsiTheme="majorHAnsi" w:cstheme="majorBidi" w:ascii="Calibri" w:hAnsi="Calibri" w:eastAsia="Calibri"/>
      <w:b/>
      <w:bCs/>
      <w:color w:val="335E52"/>
      <w:sz w:val="24"/>
      <w:lang w:val="en-GB"/>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before="0"/>
      <w:contextualSpacing/>
    </w:pPr>
    <w:rPr>
      <w:rFonts w:asciiTheme="majorHAnsi" w:eastAsiaTheme="majorEastAsia" w:hAnsiTheme="majorHAnsi" w:cstheme="majorBidi" w:ascii="Calibri" w:hAnsi="Calibri" w:eastAsia="Calibri"/>
      <w:b/>
      <w:color w:val="2B193A"/>
      <w:spacing w:val="5"/>
      <w:kern w:val="28"/>
      <w:sz w:val="58"/>
      <w:szCs w:val="52"/>
      <w:lang w:val="en-GB"/>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360" w:line="276" w:lineRule="auto"/>
    </w:pPr>
    <w:rPr>
      <w:rFonts w:asciiTheme="majorHAnsi" w:eastAsiaTheme="majorEastAsia" w:hAnsiTheme="majorHAnsi" w:cstheme="majorBidi" w:ascii="Calibri" w:hAnsi="Calibri" w:eastAsia="Calibri"/>
      <w:b w:val="0"/>
      <w:i/>
      <w:iCs/>
      <w:color w:val="645B67"/>
      <w:spacing w:val="15"/>
      <w:sz w:val="26"/>
      <w:szCs w:val="24"/>
      <w:lang w:val="en-GB"/>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cker">
    <w:name w:val="Kicker"/>
    <w:pPr>
      <w:keepNext/>
      <w:spacing w:before="0" w:after="40"/>
    </w:pPr>
    <w:rPr>
      <w:rFonts w:ascii="Calibri" w:hAnsi="Calibri" w:eastAsia="Calibri"/>
      <w:b/>
      <w:color w:val="A4783F"/>
      <w:sz w:val="18"/>
      <w:lang w:val="en-GB"/>
    </w:rPr>
  </w:style>
  <w:style w:type="paragraph" w:customStyle="1" w:styleId="Smallprint">
    <w:name w:val="Small print"/>
    <w:pPr>
      <w:spacing w:before="0" w:after="80" w:line="276" w:lineRule="auto"/>
    </w:pPr>
    <w:rPr>
      <w:rFonts w:ascii="Calibri" w:hAnsi="Calibri" w:eastAsia="Calibri"/>
      <w:b w:val="0"/>
      <w:color w:val="645B67"/>
      <w:sz w:val="17"/>
      <w:lang w:val="en-GB"/>
    </w:rPr>
  </w:style>
  <w:style w:type="paragraph" w:customStyle="1" w:styleId="Pupilprompt">
    <w:name w:val="Pupil prompt"/>
    <w:pPr>
      <w:keepNext/>
      <w:spacing w:before="160" w:after="100"/>
    </w:pPr>
    <w:rPr>
      <w:rFonts w:ascii="Calibri" w:hAnsi="Calibri" w:eastAsia="Calibri"/>
      <w:b/>
      <w:color w:val="2B193A"/>
      <w:sz w:val="22"/>
      <w:lang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gov.uk/government/publications/national-curriculum-in-england-english-programmes-of-study" TargetMode="External"/><Relationship Id="rId12" Type="http://schemas.openxmlformats.org/officeDocument/2006/relationships/hyperlink" Target="https://www.gov.uk/government/publications/the-reading-framework-teaching-the-foundations-of-literacy" TargetMode="External"/><Relationship Id="rId13" Type="http://schemas.openxmlformats.org/officeDocument/2006/relationships/hyperlink" Target="https://educationendowmentfoundation.org.uk/education-evidence/guidance-reports/literacy-ks2" TargetMode="External"/><Relationship Id="rId14" Type="http://schemas.openxmlformats.org/officeDocument/2006/relationships/hyperlink" Target="https://www.gov.uk/government/publications/keeping-children-safe-in-education--2" TargetMode="External"/><Relationship Id="rId15" Type="http://schemas.openxmlformats.org/officeDocument/2006/relationships/hyperlink" Target="https://www.gov.uk/government/publications/send-code-of-practice-0-to-25" TargetMode="External"/><Relationship Id="rId16" Type="http://schemas.openxmlformats.org/officeDocument/2006/relationships/hyperlink" Target="https://www.gov.uk/guidance/data-protection-in-schools/procuring-educational-technology-edtech" TargetMode="External"/><Relationship Id="rId17" Type="http://schemas.openxmlformats.org/officeDocument/2006/relationships/hyperlink" Target="https://ico.org.uk/for-organisations/uk-gdpr-guidance-and-resources/childrens-information/childrens-code-guidance-and-resources/age-appropriate-design-a-code-of-practice-for-online-services/" TargetMode="External"/><Relationship Id="rId18" Type="http://schemas.openxmlformats.org/officeDocument/2006/relationships/hyperlink" Target="https://www.asa.org.uk/type/non_broadcast/code_section/0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Broom Too Soon - Book One Teacher Pack</dc:title>
  <dc:subject>Concise teacher and pupil resources for Chapters 1 and 2</dc:subject>
  <dc:creator>L. Hine</dc:creator>
  <cp:keywords>Book One, Key Stage 2, teacher pack, UK English, A4</cp:keywords>
  <dc:description>generated by python-docx</dc:description>
  <cp:lastModifiedBy>Slightly Spooky School teacher-pack builder</cp:lastModifiedBy>
  <cp:revision>1</cp:revision>
  <dcterms:created xsi:type="dcterms:W3CDTF">2026-08-07T00:00:00Z</dcterms:created>
  <dcterms:modified xsi:type="dcterms:W3CDTF">2026-08-07T00:00:00Z</dcterms:modified>
  <cp:category/>
</cp:coreProperties>
</file>